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C34F3" w14:textId="77777777" w:rsidR="00C00A33" w:rsidRPr="00D02598" w:rsidRDefault="00C00A33" w:rsidP="00D02598">
      <w:pPr>
        <w:spacing w:after="0" w:line="240" w:lineRule="auto"/>
        <w:jc w:val="center"/>
        <w:rPr>
          <w:b/>
          <w:bCs/>
          <w:sz w:val="22"/>
          <w:szCs w:val="22"/>
        </w:rPr>
      </w:pPr>
      <w:r w:rsidRPr="00D02598">
        <w:rPr>
          <w:b/>
          <w:bCs/>
          <w:sz w:val="22"/>
          <w:szCs w:val="22"/>
        </w:rPr>
        <w:t>WV Board of Veterinary Medicine</w:t>
      </w:r>
    </w:p>
    <w:p w14:paraId="7E40E414" w14:textId="3C1FD0F3" w:rsidR="004E6EA1" w:rsidRPr="00D02598" w:rsidRDefault="00C00A33" w:rsidP="00D02598">
      <w:pPr>
        <w:spacing w:after="0" w:line="240" w:lineRule="auto"/>
        <w:jc w:val="center"/>
        <w:rPr>
          <w:b/>
          <w:bCs/>
          <w:sz w:val="22"/>
          <w:szCs w:val="22"/>
        </w:rPr>
      </w:pPr>
      <w:r w:rsidRPr="00D02598">
        <w:rPr>
          <w:b/>
          <w:bCs/>
          <w:sz w:val="22"/>
          <w:szCs w:val="22"/>
        </w:rPr>
        <w:t xml:space="preserve">Series </w:t>
      </w:r>
      <w:r w:rsidR="00DB4988">
        <w:rPr>
          <w:b/>
          <w:bCs/>
          <w:sz w:val="22"/>
          <w:szCs w:val="22"/>
        </w:rPr>
        <w:t>2</w:t>
      </w:r>
    </w:p>
    <w:p w14:paraId="283D44C6" w14:textId="0502FD90" w:rsidR="00C00A33" w:rsidRPr="00D02598" w:rsidRDefault="00C00A33" w:rsidP="00D02598">
      <w:pPr>
        <w:spacing w:after="0" w:line="240" w:lineRule="auto"/>
        <w:jc w:val="center"/>
        <w:rPr>
          <w:b/>
          <w:bCs/>
          <w:sz w:val="22"/>
          <w:szCs w:val="22"/>
        </w:rPr>
      </w:pPr>
      <w:r w:rsidRPr="00D02598">
        <w:rPr>
          <w:b/>
          <w:bCs/>
          <w:sz w:val="22"/>
          <w:szCs w:val="22"/>
        </w:rPr>
        <w:t>Public Comments</w:t>
      </w:r>
    </w:p>
    <w:p w14:paraId="0697737E" w14:textId="77777777" w:rsidR="00FE1B96" w:rsidRPr="00D02598" w:rsidRDefault="00FE1B96" w:rsidP="00D02598">
      <w:pPr>
        <w:spacing w:after="0" w:line="240" w:lineRule="auto"/>
        <w:jc w:val="center"/>
        <w:rPr>
          <w:b/>
          <w:bCs/>
          <w:sz w:val="22"/>
          <w:szCs w:val="22"/>
        </w:rPr>
      </w:pPr>
    </w:p>
    <w:p w14:paraId="58240147" w14:textId="55C30F5A" w:rsidR="00C00A33" w:rsidRDefault="00C00A33" w:rsidP="00D02598">
      <w:pPr>
        <w:spacing w:after="0" w:line="240" w:lineRule="auto"/>
        <w:jc w:val="center"/>
        <w:rPr>
          <w:b/>
          <w:bCs/>
          <w:sz w:val="22"/>
          <w:szCs w:val="22"/>
        </w:rPr>
      </w:pPr>
      <w:r w:rsidRPr="00D02598">
        <w:rPr>
          <w:b/>
          <w:bCs/>
          <w:sz w:val="22"/>
          <w:szCs w:val="22"/>
        </w:rPr>
        <w:t>June 15 – July 16, 2026</w:t>
      </w:r>
    </w:p>
    <w:p w14:paraId="07B6CCC6" w14:textId="77777777" w:rsidR="00D02598" w:rsidRPr="00D02598" w:rsidRDefault="00D02598" w:rsidP="00D02598">
      <w:pPr>
        <w:spacing w:after="0" w:line="240" w:lineRule="auto"/>
        <w:jc w:val="center"/>
        <w:rPr>
          <w:b/>
          <w:bCs/>
          <w:sz w:val="22"/>
          <w:szCs w:val="22"/>
        </w:rPr>
      </w:pPr>
    </w:p>
    <w:p w14:paraId="399B1AFD" w14:textId="77777777" w:rsidR="00477A30" w:rsidRPr="00C92CA9" w:rsidRDefault="00477A30" w:rsidP="00477A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color w:val="EE0000"/>
          <w:sz w:val="22"/>
        </w:rPr>
      </w:pPr>
      <w:r w:rsidRPr="00C92CA9">
        <w:rPr>
          <w:b/>
          <w:color w:val="EE0000"/>
          <w:sz w:val="22"/>
        </w:rPr>
        <w:t>§26-2-2.  Application.</w:t>
      </w:r>
    </w:p>
    <w:p w14:paraId="0272B4B5" w14:textId="77777777" w:rsidR="00477A30" w:rsidRPr="00D02598" w:rsidRDefault="00477A30" w:rsidP="00477A30">
      <w:pPr>
        <w:widowControl w:val="0"/>
        <w:spacing w:after="0" w:line="240" w:lineRule="auto"/>
        <w:jc w:val="both"/>
        <w:rPr>
          <w:rFonts w:ascii="Calibri" w:hAnsi="Calibri" w:cs="Calibri"/>
          <w:b/>
          <w:sz w:val="22"/>
          <w:szCs w:val="22"/>
        </w:rPr>
      </w:pPr>
      <w:r w:rsidRPr="00D02598">
        <w:rPr>
          <w:rFonts w:ascii="Calibri" w:hAnsi="Calibri" w:cs="Calibri"/>
          <w:b/>
          <w:sz w:val="22"/>
          <w:szCs w:val="22"/>
        </w:rPr>
        <w:t>Dr. Shawn Sette, July 8, 2026</w:t>
      </w:r>
    </w:p>
    <w:p w14:paraId="10219B65" w14:textId="77777777" w:rsidR="00477A30" w:rsidRDefault="00477A30" w:rsidP="00477A30">
      <w:r>
        <w:t>This rule applies to all licensees</w:t>
      </w:r>
      <w:r w:rsidRPr="031D0CFF">
        <w:rPr>
          <w:color w:val="FF0000"/>
        </w:rPr>
        <w:t xml:space="preserve">, registrants, </w:t>
      </w:r>
      <w:proofErr w:type="spellStart"/>
      <w:r w:rsidRPr="031D0CFF">
        <w:rPr>
          <w:color w:val="FF0000"/>
        </w:rPr>
        <w:t>certificants</w:t>
      </w:r>
      <w:proofErr w:type="spellEnd"/>
      <w:r w:rsidRPr="031D0CFF">
        <w:rPr>
          <w:color w:val="FF0000"/>
        </w:rPr>
        <w:t xml:space="preserve">, and </w:t>
      </w:r>
      <w:proofErr w:type="spellStart"/>
      <w:r w:rsidRPr="031D0CFF">
        <w:rPr>
          <w:color w:val="FF0000"/>
        </w:rPr>
        <w:t>permitees</w:t>
      </w:r>
      <w:proofErr w:type="spellEnd"/>
      <w:r>
        <w:t xml:space="preserve"> under the regulatory authority of the board.</w:t>
      </w:r>
    </w:p>
    <w:p w14:paraId="4B779B5C" w14:textId="3EC65B90" w:rsidR="00B3346E" w:rsidRDefault="00DB4988" w:rsidP="00B3346E">
      <w:r w:rsidRPr="00DB4988">
        <w:rPr>
          <w:b/>
          <w:bCs/>
        </w:rPr>
        <w:t>Board Re</w:t>
      </w:r>
      <w:r w:rsidR="00B3346E">
        <w:rPr>
          <w:b/>
          <w:bCs/>
        </w:rPr>
        <w:t>vis</w:t>
      </w:r>
      <w:r w:rsidR="00241606">
        <w:rPr>
          <w:b/>
          <w:bCs/>
        </w:rPr>
        <w:t>ion</w:t>
      </w:r>
      <w:r w:rsidR="00B3346E">
        <w:rPr>
          <w:b/>
          <w:bCs/>
        </w:rPr>
        <w:t xml:space="preserve">: </w:t>
      </w:r>
      <w:r w:rsidR="00B3346E">
        <w:t>This rule applies to all licensees</w:t>
      </w:r>
      <w:r w:rsidR="00B3346E" w:rsidRPr="031D0CFF">
        <w:rPr>
          <w:color w:val="FF0000"/>
        </w:rPr>
        <w:t xml:space="preserve">, registrants, </w:t>
      </w:r>
      <w:proofErr w:type="spellStart"/>
      <w:r w:rsidR="00B3346E" w:rsidRPr="031D0CFF">
        <w:rPr>
          <w:color w:val="FF0000"/>
        </w:rPr>
        <w:t>certificants</w:t>
      </w:r>
      <w:proofErr w:type="spellEnd"/>
      <w:r w:rsidR="00B3346E" w:rsidRPr="031D0CFF">
        <w:rPr>
          <w:color w:val="FF0000"/>
        </w:rPr>
        <w:t xml:space="preserve">, and </w:t>
      </w:r>
      <w:proofErr w:type="spellStart"/>
      <w:r w:rsidR="00B3346E" w:rsidRPr="031D0CFF">
        <w:rPr>
          <w:color w:val="FF0000"/>
        </w:rPr>
        <w:t>permitees</w:t>
      </w:r>
      <w:proofErr w:type="spellEnd"/>
      <w:r w:rsidR="00B3346E">
        <w:t xml:space="preserve"> under the regulatory authority of the board.</w:t>
      </w:r>
    </w:p>
    <w:p w14:paraId="507AB4B6" w14:textId="77777777" w:rsidR="00477A30" w:rsidRPr="00C92CA9" w:rsidRDefault="00477A30" w:rsidP="00477A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color w:val="EE0000"/>
          <w:sz w:val="22"/>
        </w:rPr>
      </w:pPr>
      <w:r w:rsidRPr="00C92CA9">
        <w:rPr>
          <w:b/>
          <w:color w:val="EE0000"/>
          <w:sz w:val="22"/>
        </w:rPr>
        <w:t>§26-2-3. Definitions.</w:t>
      </w:r>
    </w:p>
    <w:p w14:paraId="04945CD6" w14:textId="77777777" w:rsidR="00477A30" w:rsidRPr="00D02598" w:rsidRDefault="00477A30" w:rsidP="00477A30">
      <w:pPr>
        <w:widowControl w:val="0"/>
        <w:spacing w:after="0" w:line="240" w:lineRule="auto"/>
        <w:jc w:val="both"/>
        <w:rPr>
          <w:rFonts w:ascii="Calibri" w:hAnsi="Calibri" w:cs="Calibri"/>
          <w:b/>
          <w:sz w:val="22"/>
          <w:szCs w:val="22"/>
        </w:rPr>
      </w:pPr>
      <w:r w:rsidRPr="00D02598">
        <w:rPr>
          <w:rFonts w:ascii="Calibri" w:hAnsi="Calibri" w:cs="Calibri"/>
          <w:b/>
          <w:sz w:val="22"/>
          <w:szCs w:val="22"/>
        </w:rPr>
        <w:t>Dr. Shawn Sette, July 8, 2026</w:t>
      </w:r>
    </w:p>
    <w:p w14:paraId="37CAF181" w14:textId="77777777" w:rsidR="00477A30" w:rsidRDefault="00477A30" w:rsidP="00477A30">
      <w:pPr>
        <w:rPr>
          <w:rFonts w:ascii="Aptos" w:eastAsia="Aptos" w:hAnsi="Aptos" w:cs="Aptos"/>
        </w:rPr>
      </w:pPr>
      <w:r w:rsidRPr="031D0CFF">
        <w:rPr>
          <w:rFonts w:ascii="Aptos" w:eastAsia="Aptos" w:hAnsi="Aptos" w:cs="Aptos"/>
        </w:rPr>
        <w:t>3.2. “License” means a veterinary license, temporary permit, registration of a veterinary technician or certification of an animal euthanasia technician</w:t>
      </w:r>
      <w:r w:rsidRPr="031D0CFF">
        <w:rPr>
          <w:rFonts w:ascii="Aptos" w:eastAsia="Aptos" w:hAnsi="Aptos" w:cs="Aptos"/>
          <w:color w:val="FF0000"/>
        </w:rPr>
        <w:t>,</w:t>
      </w:r>
      <w:r w:rsidRPr="031D0CFF">
        <w:rPr>
          <w:rFonts w:ascii="Aptos" w:eastAsia="Aptos" w:hAnsi="Aptos" w:cs="Aptos"/>
        </w:rPr>
        <w:t xml:space="preserve"> issued by the Board</w:t>
      </w:r>
      <w:r w:rsidRPr="031D0CFF">
        <w:rPr>
          <w:rFonts w:ascii="Aptos" w:eastAsia="Aptos" w:hAnsi="Aptos" w:cs="Aptos"/>
          <w:color w:val="FF0000"/>
        </w:rPr>
        <w:t>,</w:t>
      </w:r>
      <w:r w:rsidRPr="031D0CFF">
        <w:rPr>
          <w:rFonts w:ascii="Aptos" w:eastAsia="Aptos" w:hAnsi="Aptos" w:cs="Aptos"/>
        </w:rPr>
        <w:t xml:space="preserve"> pursuant to W. Va. Code §30-10-1 et seq.</w:t>
      </w:r>
    </w:p>
    <w:p w14:paraId="1FBA91AA" w14:textId="6B169B8C" w:rsidR="00B3346E" w:rsidRDefault="00DB4988" w:rsidP="00B3346E">
      <w:pPr>
        <w:rPr>
          <w:rFonts w:ascii="Aptos" w:eastAsia="Aptos" w:hAnsi="Aptos" w:cs="Aptos"/>
        </w:rPr>
      </w:pPr>
      <w:r w:rsidRPr="00DB4988">
        <w:rPr>
          <w:b/>
          <w:bCs/>
        </w:rPr>
        <w:t xml:space="preserve">Board </w:t>
      </w:r>
      <w:r w:rsidR="00241606" w:rsidRPr="00DB4988">
        <w:rPr>
          <w:b/>
          <w:bCs/>
        </w:rPr>
        <w:t>Re</w:t>
      </w:r>
      <w:r w:rsidR="00241606">
        <w:rPr>
          <w:b/>
          <w:bCs/>
        </w:rPr>
        <w:t>vision</w:t>
      </w:r>
      <w:r w:rsidRPr="00DB4988">
        <w:rPr>
          <w:b/>
          <w:bCs/>
        </w:rPr>
        <w:t xml:space="preserve">: </w:t>
      </w:r>
      <w:r w:rsidR="00B3346E" w:rsidRPr="031D0CFF">
        <w:rPr>
          <w:rFonts w:ascii="Aptos" w:eastAsia="Aptos" w:hAnsi="Aptos" w:cs="Aptos"/>
        </w:rPr>
        <w:t>3.2. “License” means a veterinary license, temporary permit, registration of a veterinary technician or certification of an animal euthanasia technician</w:t>
      </w:r>
      <w:r w:rsidR="00B3346E" w:rsidRPr="00B3346E">
        <w:rPr>
          <w:rFonts w:ascii="Aptos" w:eastAsia="Aptos" w:hAnsi="Aptos" w:cs="Aptos"/>
          <w:color w:val="FF0000"/>
          <w:u w:val="single"/>
        </w:rPr>
        <w:t>,</w:t>
      </w:r>
      <w:r w:rsidR="00B3346E" w:rsidRPr="031D0CFF">
        <w:rPr>
          <w:rFonts w:ascii="Aptos" w:eastAsia="Aptos" w:hAnsi="Aptos" w:cs="Aptos"/>
        </w:rPr>
        <w:t xml:space="preserve"> issued by the Board</w:t>
      </w:r>
      <w:r w:rsidR="00B3346E" w:rsidRPr="031D0CFF">
        <w:rPr>
          <w:rFonts w:ascii="Aptos" w:eastAsia="Aptos" w:hAnsi="Aptos" w:cs="Aptos"/>
          <w:color w:val="FF0000"/>
        </w:rPr>
        <w:t>,</w:t>
      </w:r>
      <w:r w:rsidR="00B3346E" w:rsidRPr="031D0CFF">
        <w:rPr>
          <w:rFonts w:ascii="Aptos" w:eastAsia="Aptos" w:hAnsi="Aptos" w:cs="Aptos"/>
        </w:rPr>
        <w:t xml:space="preserve"> pursuant to W. Va. Code §30-10-1 et seq.</w:t>
      </w:r>
    </w:p>
    <w:p w14:paraId="1C81B084" w14:textId="1E638A55" w:rsidR="00477A30" w:rsidRPr="00C92CA9" w:rsidRDefault="00477A30" w:rsidP="00477A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color w:val="EE0000"/>
          <w:sz w:val="22"/>
        </w:rPr>
      </w:pPr>
      <w:r w:rsidRPr="00C92CA9">
        <w:rPr>
          <w:b/>
          <w:color w:val="EE0000"/>
          <w:sz w:val="22"/>
        </w:rPr>
        <w:t>§26-2-5.  Disposition of Complaints.</w:t>
      </w:r>
    </w:p>
    <w:p w14:paraId="6D2C16DE" w14:textId="77777777" w:rsidR="00477A30" w:rsidRPr="00D02598" w:rsidRDefault="00477A30" w:rsidP="00477A30">
      <w:pPr>
        <w:widowControl w:val="0"/>
        <w:spacing w:after="0" w:line="240" w:lineRule="auto"/>
        <w:jc w:val="both"/>
        <w:rPr>
          <w:rFonts w:ascii="Calibri" w:hAnsi="Calibri" w:cs="Calibri"/>
          <w:b/>
          <w:sz w:val="22"/>
          <w:szCs w:val="22"/>
        </w:rPr>
      </w:pPr>
      <w:r w:rsidRPr="00D02598">
        <w:rPr>
          <w:rFonts w:ascii="Calibri" w:hAnsi="Calibri" w:cs="Calibri"/>
          <w:b/>
          <w:sz w:val="22"/>
          <w:szCs w:val="22"/>
        </w:rPr>
        <w:t>Dr. Shawn Sette, July 8, 2026</w:t>
      </w:r>
    </w:p>
    <w:p w14:paraId="2E7AB3DB" w14:textId="77777777" w:rsidR="00477A30" w:rsidRDefault="00477A30" w:rsidP="00477A30">
      <w:pPr>
        <w:rPr>
          <w:rFonts w:ascii="Aptos" w:eastAsia="Aptos" w:hAnsi="Aptos" w:cs="Aptos"/>
          <w:color w:val="FF0000"/>
        </w:rPr>
      </w:pPr>
      <w:r w:rsidRPr="031D0CFF">
        <w:rPr>
          <w:rFonts w:ascii="Aptos" w:eastAsia="Aptos" w:hAnsi="Aptos" w:cs="Aptos"/>
        </w:rPr>
        <w:t>5.6. Upon receipt of a complaint, the Board shall issue one of the following acknowledgments to the</w:t>
      </w:r>
      <w:r w:rsidRPr="031D0CFF">
        <w:rPr>
          <w:rFonts w:ascii="Aptos" w:eastAsia="Aptos" w:hAnsi="Aptos" w:cs="Aptos"/>
          <w:color w:val="FF0000"/>
        </w:rPr>
        <w:t xml:space="preserve"> complainant.</w:t>
      </w:r>
    </w:p>
    <w:p w14:paraId="25B2CAA2" w14:textId="4EB1805B" w:rsidR="00B3346E" w:rsidRDefault="00DB4988" w:rsidP="00B3346E">
      <w:pPr>
        <w:rPr>
          <w:rFonts w:ascii="Aptos" w:eastAsia="Aptos" w:hAnsi="Aptos" w:cs="Aptos"/>
          <w:color w:val="FF0000"/>
        </w:rPr>
      </w:pPr>
      <w:r w:rsidRPr="00DB4988">
        <w:rPr>
          <w:b/>
          <w:bCs/>
        </w:rPr>
        <w:t xml:space="preserve">Board </w:t>
      </w:r>
      <w:r w:rsidR="00241606" w:rsidRPr="00DB4988">
        <w:rPr>
          <w:b/>
          <w:bCs/>
        </w:rPr>
        <w:t>Re</w:t>
      </w:r>
      <w:r w:rsidR="00241606">
        <w:rPr>
          <w:b/>
          <w:bCs/>
        </w:rPr>
        <w:t>vision</w:t>
      </w:r>
      <w:r w:rsidRPr="00DB4988">
        <w:rPr>
          <w:b/>
          <w:bCs/>
        </w:rPr>
        <w:t xml:space="preserve">: </w:t>
      </w:r>
      <w:r w:rsidR="00B3346E" w:rsidRPr="031D0CFF">
        <w:rPr>
          <w:rFonts w:ascii="Aptos" w:eastAsia="Aptos" w:hAnsi="Aptos" w:cs="Aptos"/>
        </w:rPr>
        <w:t>5.6. Upon receipt of a complaint, the Board shall issue one of the following acknowledgments to the</w:t>
      </w:r>
      <w:r w:rsidR="00B3346E" w:rsidRPr="031D0CFF">
        <w:rPr>
          <w:rFonts w:ascii="Aptos" w:eastAsia="Aptos" w:hAnsi="Aptos" w:cs="Aptos"/>
          <w:color w:val="FF0000"/>
        </w:rPr>
        <w:t xml:space="preserve"> </w:t>
      </w:r>
      <w:r w:rsidR="00B3346E" w:rsidRPr="00B3346E">
        <w:rPr>
          <w:rFonts w:ascii="Aptos" w:eastAsia="Aptos" w:hAnsi="Aptos" w:cs="Aptos"/>
          <w:strike/>
          <w:color w:val="FF0000"/>
        </w:rPr>
        <w:t>complaint</w:t>
      </w:r>
      <w:r w:rsidR="00B3346E">
        <w:rPr>
          <w:rFonts w:ascii="Aptos" w:eastAsia="Aptos" w:hAnsi="Aptos" w:cs="Aptos"/>
          <w:color w:val="FF0000"/>
        </w:rPr>
        <w:t xml:space="preserve"> </w:t>
      </w:r>
      <w:r w:rsidR="00B3346E" w:rsidRPr="00B3346E">
        <w:rPr>
          <w:rFonts w:ascii="Aptos" w:eastAsia="Aptos" w:hAnsi="Aptos" w:cs="Aptos"/>
          <w:color w:val="FF0000"/>
          <w:u w:val="single"/>
        </w:rPr>
        <w:t>complainant</w:t>
      </w:r>
      <w:r w:rsidR="00B3346E" w:rsidRPr="031D0CFF">
        <w:rPr>
          <w:rFonts w:ascii="Aptos" w:eastAsia="Aptos" w:hAnsi="Aptos" w:cs="Aptos"/>
          <w:color w:val="FF0000"/>
        </w:rPr>
        <w:t>.</w:t>
      </w:r>
    </w:p>
    <w:p w14:paraId="218B432E" w14:textId="77777777" w:rsidR="00477A30" w:rsidRPr="00D02598" w:rsidRDefault="00477A30" w:rsidP="00477A30">
      <w:pPr>
        <w:widowControl w:val="0"/>
        <w:spacing w:after="0" w:line="240" w:lineRule="auto"/>
        <w:jc w:val="both"/>
        <w:rPr>
          <w:rFonts w:ascii="Calibri" w:hAnsi="Calibri" w:cs="Calibri"/>
          <w:b/>
          <w:sz w:val="22"/>
          <w:szCs w:val="22"/>
        </w:rPr>
      </w:pPr>
      <w:r w:rsidRPr="00D02598">
        <w:rPr>
          <w:rFonts w:ascii="Calibri" w:hAnsi="Calibri" w:cs="Calibri"/>
          <w:b/>
          <w:sz w:val="22"/>
          <w:szCs w:val="22"/>
        </w:rPr>
        <w:t>Dr. Shawn Sette, July 8, 2026</w:t>
      </w:r>
    </w:p>
    <w:p w14:paraId="3452AC1B" w14:textId="77777777" w:rsidR="00477A30" w:rsidRDefault="00477A30" w:rsidP="00477A30">
      <w:pPr>
        <w:rPr>
          <w:rFonts w:ascii="Aptos" w:eastAsia="Aptos" w:hAnsi="Aptos" w:cs="Aptos"/>
        </w:rPr>
      </w:pPr>
      <w:r w:rsidRPr="031D0CFF">
        <w:rPr>
          <w:rFonts w:ascii="Aptos" w:eastAsia="Aptos" w:hAnsi="Aptos" w:cs="Aptos"/>
        </w:rPr>
        <w:t>5.</w:t>
      </w:r>
      <w:r w:rsidRPr="031D0CFF">
        <w:rPr>
          <w:rFonts w:ascii="Aptos" w:eastAsia="Aptos" w:hAnsi="Aptos" w:cs="Aptos"/>
          <w:strike/>
        </w:rPr>
        <w:t>11</w:t>
      </w:r>
      <w:r w:rsidRPr="031D0CFF">
        <w:rPr>
          <w:rFonts w:ascii="Aptos" w:eastAsia="Aptos" w:hAnsi="Aptos" w:cs="Aptos"/>
        </w:rPr>
        <w:t>10. At any point in its investigation of a complaint, the</w:t>
      </w:r>
      <w:r w:rsidRPr="031D0CFF">
        <w:rPr>
          <w:rFonts w:ascii="Aptos" w:eastAsia="Aptos" w:hAnsi="Aptos" w:cs="Aptos"/>
          <w:strike/>
        </w:rPr>
        <w:t xml:space="preserve"> investigation</w:t>
      </w:r>
      <w:r w:rsidRPr="031D0CFF">
        <w:rPr>
          <w:rFonts w:ascii="Aptos" w:eastAsia="Aptos" w:hAnsi="Aptos" w:cs="Aptos"/>
        </w:rPr>
        <w:t xml:space="preserve"> </w:t>
      </w:r>
      <w:r w:rsidRPr="031D0CFF">
        <w:rPr>
          <w:rFonts w:ascii="Aptos" w:eastAsia="Aptos" w:hAnsi="Aptos" w:cs="Aptos"/>
          <w:color w:val="FF0000"/>
        </w:rPr>
        <w:t>complaint</w:t>
      </w:r>
      <w:r w:rsidRPr="031D0CFF">
        <w:rPr>
          <w:rFonts w:ascii="Aptos" w:eastAsia="Aptos" w:hAnsi="Aptos" w:cs="Aptos"/>
        </w:rPr>
        <w:t xml:space="preserve"> committee of the Board may, at its discretion, assign the matter to an investigator for review and investigation.</w:t>
      </w:r>
    </w:p>
    <w:p w14:paraId="761A1511" w14:textId="4E4DB27C" w:rsidR="00B3346E" w:rsidRDefault="00DB4988" w:rsidP="00B3346E">
      <w:pPr>
        <w:rPr>
          <w:rFonts w:ascii="Aptos" w:eastAsia="Aptos" w:hAnsi="Aptos" w:cs="Aptos"/>
        </w:rPr>
      </w:pPr>
      <w:r w:rsidRPr="00DB4988">
        <w:rPr>
          <w:b/>
          <w:bCs/>
        </w:rPr>
        <w:t xml:space="preserve">Board </w:t>
      </w:r>
      <w:r w:rsidR="00241606" w:rsidRPr="00DB4988">
        <w:rPr>
          <w:b/>
          <w:bCs/>
        </w:rPr>
        <w:t>Re</w:t>
      </w:r>
      <w:r w:rsidR="00241606">
        <w:rPr>
          <w:b/>
          <w:bCs/>
        </w:rPr>
        <w:t>vision</w:t>
      </w:r>
      <w:r w:rsidRPr="00DB4988">
        <w:rPr>
          <w:b/>
          <w:bCs/>
        </w:rPr>
        <w:t xml:space="preserve">: </w:t>
      </w:r>
      <w:r w:rsidR="00B3346E" w:rsidRPr="031D0CFF">
        <w:rPr>
          <w:rFonts w:ascii="Aptos" w:eastAsia="Aptos" w:hAnsi="Aptos" w:cs="Aptos"/>
        </w:rPr>
        <w:t>5.</w:t>
      </w:r>
      <w:r w:rsidR="00B3346E" w:rsidRPr="031D0CFF">
        <w:rPr>
          <w:rFonts w:ascii="Aptos" w:eastAsia="Aptos" w:hAnsi="Aptos" w:cs="Aptos"/>
          <w:strike/>
        </w:rPr>
        <w:t>11</w:t>
      </w:r>
      <w:r w:rsidR="00B3346E" w:rsidRPr="031D0CFF">
        <w:rPr>
          <w:rFonts w:ascii="Aptos" w:eastAsia="Aptos" w:hAnsi="Aptos" w:cs="Aptos"/>
        </w:rPr>
        <w:t>10. At any point in its investigation of a complaint, the</w:t>
      </w:r>
      <w:r w:rsidR="00B3346E" w:rsidRPr="031D0CFF">
        <w:rPr>
          <w:rFonts w:ascii="Aptos" w:eastAsia="Aptos" w:hAnsi="Aptos" w:cs="Aptos"/>
          <w:strike/>
        </w:rPr>
        <w:t xml:space="preserve"> investigation</w:t>
      </w:r>
      <w:r w:rsidR="00B3346E" w:rsidRPr="031D0CFF">
        <w:rPr>
          <w:rFonts w:ascii="Aptos" w:eastAsia="Aptos" w:hAnsi="Aptos" w:cs="Aptos"/>
        </w:rPr>
        <w:t xml:space="preserve"> </w:t>
      </w:r>
      <w:r w:rsidR="00B3346E" w:rsidRPr="031D0CFF">
        <w:rPr>
          <w:rFonts w:ascii="Aptos" w:eastAsia="Aptos" w:hAnsi="Aptos" w:cs="Aptos"/>
          <w:color w:val="FF0000"/>
        </w:rPr>
        <w:t>complaint</w:t>
      </w:r>
      <w:r w:rsidR="00B3346E" w:rsidRPr="031D0CFF">
        <w:rPr>
          <w:rFonts w:ascii="Aptos" w:eastAsia="Aptos" w:hAnsi="Aptos" w:cs="Aptos"/>
        </w:rPr>
        <w:t xml:space="preserve"> committee of the Board may, at its discretion, assign the matter to an investigator for review and investigation.</w:t>
      </w:r>
    </w:p>
    <w:p w14:paraId="3D2BE92F" w14:textId="77777777" w:rsidR="00477A30" w:rsidRPr="00D02598" w:rsidRDefault="00477A30" w:rsidP="00477A30">
      <w:pPr>
        <w:widowControl w:val="0"/>
        <w:spacing w:after="0" w:line="240" w:lineRule="auto"/>
        <w:jc w:val="both"/>
        <w:rPr>
          <w:rFonts w:ascii="Calibri" w:hAnsi="Calibri" w:cs="Calibri"/>
          <w:b/>
          <w:sz w:val="22"/>
          <w:szCs w:val="22"/>
        </w:rPr>
      </w:pPr>
      <w:r w:rsidRPr="00D02598">
        <w:rPr>
          <w:rFonts w:ascii="Calibri" w:hAnsi="Calibri" w:cs="Calibri"/>
          <w:b/>
          <w:sz w:val="22"/>
          <w:szCs w:val="22"/>
        </w:rPr>
        <w:t>Dr. Shawn Sette, July 8, 2026</w:t>
      </w:r>
    </w:p>
    <w:p w14:paraId="62A14F97" w14:textId="77777777" w:rsidR="00477A30" w:rsidRDefault="00477A30" w:rsidP="00477A30">
      <w:pPr>
        <w:rPr>
          <w:rFonts w:ascii="Aptos" w:eastAsia="Aptos" w:hAnsi="Aptos" w:cs="Aptos"/>
        </w:rPr>
      </w:pPr>
      <w:r w:rsidRPr="031D0CFF">
        <w:rPr>
          <w:rFonts w:ascii="Aptos" w:eastAsia="Aptos" w:hAnsi="Aptos" w:cs="Aptos"/>
        </w:rPr>
        <w:t>5.</w:t>
      </w:r>
      <w:r w:rsidRPr="031D0CFF">
        <w:rPr>
          <w:rFonts w:ascii="Aptos" w:eastAsia="Aptos" w:hAnsi="Aptos" w:cs="Aptos"/>
          <w:strike/>
        </w:rPr>
        <w:t>14</w:t>
      </w:r>
      <w:r w:rsidRPr="031D0CFF">
        <w:rPr>
          <w:rFonts w:ascii="Aptos" w:eastAsia="Aptos" w:hAnsi="Aptos" w:cs="Aptos"/>
        </w:rPr>
        <w:t xml:space="preserve">13. The Board </w:t>
      </w:r>
      <w:r w:rsidRPr="031D0CFF">
        <w:rPr>
          <w:rFonts w:ascii="Aptos" w:eastAsia="Aptos" w:hAnsi="Aptos" w:cs="Aptos"/>
          <w:strike/>
        </w:rPr>
        <w:t xml:space="preserve">investigating </w:t>
      </w:r>
      <w:r w:rsidRPr="031D0CFF">
        <w:rPr>
          <w:rFonts w:ascii="Aptos" w:eastAsia="Aptos" w:hAnsi="Aptos" w:cs="Aptos"/>
          <w:color w:val="FF0000"/>
        </w:rPr>
        <w:t>complaint</w:t>
      </w:r>
      <w:r w:rsidRPr="031D0CFF">
        <w:rPr>
          <w:rFonts w:ascii="Aptos" w:eastAsia="Aptos" w:hAnsi="Aptos" w:cs="Aptos"/>
        </w:rPr>
        <w:t xml:space="preserve"> committee or chairperson, or the executive director may issue subpoenas and subpoenas duces tecum to complete the Board's investigation and to determine the truth or validity of complaints. The investigator may request the Board or its investigation committee to issue a subpoena or subpoena duces </w:t>
      </w:r>
      <w:r w:rsidRPr="031D0CFF">
        <w:rPr>
          <w:rFonts w:ascii="Aptos" w:eastAsia="Aptos" w:hAnsi="Aptos" w:cs="Aptos"/>
        </w:rPr>
        <w:lastRenderedPageBreak/>
        <w:t>tecum. A brief written statement specifying the necessity for the same shall accompany any such request.</w:t>
      </w:r>
    </w:p>
    <w:p w14:paraId="108A54E7" w14:textId="2C6CCE81" w:rsidR="00B3346E" w:rsidRDefault="00DB4988" w:rsidP="00B3346E">
      <w:pPr>
        <w:rPr>
          <w:rFonts w:ascii="Aptos" w:eastAsia="Aptos" w:hAnsi="Aptos" w:cs="Aptos"/>
        </w:rPr>
      </w:pPr>
      <w:r w:rsidRPr="00DB4988">
        <w:rPr>
          <w:b/>
          <w:bCs/>
        </w:rPr>
        <w:t xml:space="preserve">Board Response: </w:t>
      </w:r>
      <w:r w:rsidR="00B3346E" w:rsidRPr="031D0CFF">
        <w:rPr>
          <w:rFonts w:ascii="Aptos" w:eastAsia="Aptos" w:hAnsi="Aptos" w:cs="Aptos"/>
        </w:rPr>
        <w:t>5.</w:t>
      </w:r>
      <w:r w:rsidR="00B3346E" w:rsidRPr="031D0CFF">
        <w:rPr>
          <w:rFonts w:ascii="Aptos" w:eastAsia="Aptos" w:hAnsi="Aptos" w:cs="Aptos"/>
          <w:strike/>
        </w:rPr>
        <w:t>14</w:t>
      </w:r>
      <w:r w:rsidR="00B3346E" w:rsidRPr="031D0CFF">
        <w:rPr>
          <w:rFonts w:ascii="Aptos" w:eastAsia="Aptos" w:hAnsi="Aptos" w:cs="Aptos"/>
        </w:rPr>
        <w:t xml:space="preserve">13. The Board </w:t>
      </w:r>
      <w:r w:rsidR="00B3346E" w:rsidRPr="031D0CFF">
        <w:rPr>
          <w:rFonts w:ascii="Aptos" w:eastAsia="Aptos" w:hAnsi="Aptos" w:cs="Aptos"/>
          <w:strike/>
        </w:rPr>
        <w:t xml:space="preserve">investigating </w:t>
      </w:r>
      <w:r w:rsidR="00B3346E">
        <w:rPr>
          <w:rFonts w:ascii="Aptos" w:eastAsia="Aptos" w:hAnsi="Aptos" w:cs="Aptos"/>
          <w:color w:val="FF0000"/>
          <w:u w:val="single"/>
        </w:rPr>
        <w:t>complaint</w:t>
      </w:r>
      <w:r w:rsidR="00B3346E" w:rsidRPr="031D0CFF">
        <w:rPr>
          <w:rFonts w:ascii="Aptos" w:eastAsia="Aptos" w:hAnsi="Aptos" w:cs="Aptos"/>
        </w:rPr>
        <w:t xml:space="preserve"> committee or chairperson, or the executive director may issue subpoenas and subpoenas duces tecum to complete the Board's investigation and to determine the truth or validity of complaints. The investigator may request the Board or its investigation committee to issue a subpoena or subpoena duces tecum. A brief written statement specifying the necessity for the same shall accompany any such request.</w:t>
      </w:r>
    </w:p>
    <w:p w14:paraId="473445E0" w14:textId="25E7E07C" w:rsidR="00DB4988" w:rsidRPr="00DB4988" w:rsidRDefault="00DB4988" w:rsidP="00DB4988">
      <w:pPr>
        <w:rPr>
          <w:b/>
          <w:bCs/>
        </w:rPr>
      </w:pPr>
    </w:p>
    <w:p w14:paraId="41D944E1" w14:textId="77777777" w:rsidR="00DB4988" w:rsidRDefault="00DB4988" w:rsidP="00477A30"/>
    <w:p w14:paraId="6083F740" w14:textId="77777777" w:rsidR="00477A30" w:rsidRDefault="00477A30" w:rsidP="00D02598">
      <w:pPr>
        <w:spacing w:line="240" w:lineRule="auto"/>
        <w:rPr>
          <w:sz w:val="22"/>
          <w:szCs w:val="22"/>
        </w:rPr>
      </w:pPr>
    </w:p>
    <w:p w14:paraId="4836F187" w14:textId="77777777" w:rsidR="00477A30" w:rsidRDefault="00477A30" w:rsidP="00D02598">
      <w:pPr>
        <w:spacing w:line="240" w:lineRule="auto"/>
        <w:rPr>
          <w:sz w:val="22"/>
          <w:szCs w:val="22"/>
        </w:rPr>
      </w:pPr>
    </w:p>
    <w:sectPr w:rsidR="00477A30" w:rsidSect="00D02598">
      <w:pgSz w:w="12240" w:h="15840"/>
      <w:pgMar w:top="54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DBA"/>
    <w:rsid w:val="000F5644"/>
    <w:rsid w:val="001952D5"/>
    <w:rsid w:val="00241606"/>
    <w:rsid w:val="002433C3"/>
    <w:rsid w:val="00254F8B"/>
    <w:rsid w:val="00340355"/>
    <w:rsid w:val="003441D8"/>
    <w:rsid w:val="00356DBA"/>
    <w:rsid w:val="00477A30"/>
    <w:rsid w:val="004E6EA1"/>
    <w:rsid w:val="00501747"/>
    <w:rsid w:val="006327CD"/>
    <w:rsid w:val="00662F3D"/>
    <w:rsid w:val="008D1417"/>
    <w:rsid w:val="008D75CF"/>
    <w:rsid w:val="009A176A"/>
    <w:rsid w:val="00A209D8"/>
    <w:rsid w:val="00A372FE"/>
    <w:rsid w:val="00AB4CAA"/>
    <w:rsid w:val="00B3346E"/>
    <w:rsid w:val="00C00A33"/>
    <w:rsid w:val="00C75270"/>
    <w:rsid w:val="00C92CA9"/>
    <w:rsid w:val="00D02598"/>
    <w:rsid w:val="00DB4988"/>
    <w:rsid w:val="00E011BA"/>
    <w:rsid w:val="00FE1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725CF"/>
  <w15:chartTrackingRefBased/>
  <w15:docId w15:val="{D46372FE-D623-4CC5-ADEA-7152ECE7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988"/>
  </w:style>
  <w:style w:type="paragraph" w:styleId="Heading1">
    <w:name w:val="heading 1"/>
    <w:basedOn w:val="Normal"/>
    <w:next w:val="Normal"/>
    <w:link w:val="Heading1Char"/>
    <w:uiPriority w:val="9"/>
    <w:qFormat/>
    <w:rsid w:val="00356D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6D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6D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6D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6D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6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D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6D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6D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6D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6D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6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DBA"/>
    <w:rPr>
      <w:rFonts w:eastAsiaTheme="majorEastAsia" w:cstheme="majorBidi"/>
      <w:color w:val="272727" w:themeColor="text1" w:themeTint="D8"/>
    </w:rPr>
  </w:style>
  <w:style w:type="paragraph" w:styleId="Title">
    <w:name w:val="Title"/>
    <w:basedOn w:val="Normal"/>
    <w:next w:val="Normal"/>
    <w:link w:val="TitleChar"/>
    <w:uiPriority w:val="10"/>
    <w:qFormat/>
    <w:rsid w:val="00356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DBA"/>
    <w:pPr>
      <w:spacing w:before="160"/>
      <w:jc w:val="center"/>
    </w:pPr>
    <w:rPr>
      <w:i/>
      <w:iCs/>
      <w:color w:val="404040" w:themeColor="text1" w:themeTint="BF"/>
    </w:rPr>
  </w:style>
  <w:style w:type="character" w:customStyle="1" w:styleId="QuoteChar">
    <w:name w:val="Quote Char"/>
    <w:basedOn w:val="DefaultParagraphFont"/>
    <w:link w:val="Quote"/>
    <w:uiPriority w:val="29"/>
    <w:rsid w:val="00356DBA"/>
    <w:rPr>
      <w:i/>
      <w:iCs/>
      <w:color w:val="404040" w:themeColor="text1" w:themeTint="BF"/>
    </w:rPr>
  </w:style>
  <w:style w:type="paragraph" w:styleId="ListParagraph">
    <w:name w:val="List Paragraph"/>
    <w:basedOn w:val="Normal"/>
    <w:uiPriority w:val="34"/>
    <w:qFormat/>
    <w:rsid w:val="00356DBA"/>
    <w:pPr>
      <w:ind w:left="720"/>
      <w:contextualSpacing/>
    </w:pPr>
  </w:style>
  <w:style w:type="character" w:styleId="IntenseEmphasis">
    <w:name w:val="Intense Emphasis"/>
    <w:basedOn w:val="DefaultParagraphFont"/>
    <w:uiPriority w:val="21"/>
    <w:qFormat/>
    <w:rsid w:val="00356DBA"/>
    <w:rPr>
      <w:i/>
      <w:iCs/>
      <w:color w:val="2F5496" w:themeColor="accent1" w:themeShade="BF"/>
    </w:rPr>
  </w:style>
  <w:style w:type="paragraph" w:styleId="IntenseQuote">
    <w:name w:val="Intense Quote"/>
    <w:basedOn w:val="Normal"/>
    <w:next w:val="Normal"/>
    <w:link w:val="IntenseQuoteChar"/>
    <w:uiPriority w:val="30"/>
    <w:qFormat/>
    <w:rsid w:val="00356D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6DBA"/>
    <w:rPr>
      <w:i/>
      <w:iCs/>
      <w:color w:val="2F5496" w:themeColor="accent1" w:themeShade="BF"/>
    </w:rPr>
  </w:style>
  <w:style w:type="character" w:styleId="IntenseReference">
    <w:name w:val="Intense Reference"/>
    <w:basedOn w:val="DefaultParagraphFont"/>
    <w:uiPriority w:val="32"/>
    <w:qFormat/>
    <w:rsid w:val="00356DB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Holstein, Patricia A</dc:creator>
  <cp:keywords/>
  <dc:description/>
  <cp:lastModifiedBy>Holstein, Patricia A</cp:lastModifiedBy>
  <cp:revision>5</cp:revision>
  <cp:lastPrinted>2026-07-23T18:33:00Z</cp:lastPrinted>
  <dcterms:created xsi:type="dcterms:W3CDTF">2026-07-22T14:54:00Z</dcterms:created>
  <dcterms:modified xsi:type="dcterms:W3CDTF">2026-07-23T18:45:00Z</dcterms:modified>
</cp:coreProperties>
</file>