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716F9" w14:textId="320CACEF" w:rsidR="00600DE0" w:rsidRPr="000617F3" w:rsidRDefault="00000000" w:rsidP="00BC703F">
      <w:pPr>
        <w:spacing w:before="13" w:after="726" w:line="225" w:lineRule="exact"/>
        <w:jc w:val="center"/>
        <w:textAlignment w:val="baseline"/>
        <w:rPr>
          <w:rFonts w:ascii="Calibri" w:eastAsia="Times New Roman" w:hAnsi="Calibri" w:cs="Calibri"/>
          <w:b/>
          <w:color w:val="000000"/>
          <w:spacing w:val="-1"/>
        </w:rPr>
        <w:sectPr w:rsidR="00600DE0" w:rsidRPr="000617F3">
          <w:pgSz w:w="12240" w:h="15840"/>
          <w:pgMar w:top="720" w:right="1430" w:bottom="200" w:left="1435" w:header="720" w:footer="720" w:gutter="0"/>
          <w:cols w:space="720"/>
        </w:sectPr>
      </w:pPr>
      <w:r w:rsidRPr="000617F3">
        <w:rPr>
          <w:rFonts w:ascii="Calibri" w:eastAsia="Times New Roman" w:hAnsi="Calibri" w:cs="Calibri"/>
          <w:b/>
          <w:color w:val="000000"/>
          <w:spacing w:val="-1"/>
        </w:rPr>
        <w:t>27CSR6</w:t>
      </w:r>
    </w:p>
    <w:p w14:paraId="07D9303E" w14:textId="77777777" w:rsidR="00600DE0" w:rsidRPr="000617F3" w:rsidRDefault="00000000">
      <w:pPr>
        <w:spacing w:before="4" w:line="249" w:lineRule="exact"/>
        <w:jc w:val="center"/>
        <w:textAlignment w:val="baseline"/>
        <w:rPr>
          <w:rFonts w:ascii="Calibri" w:eastAsia="Times New Roman" w:hAnsi="Calibri" w:cs="Calibri"/>
          <w:b/>
          <w:color w:val="000000"/>
        </w:rPr>
      </w:pPr>
      <w:r w:rsidRPr="000617F3">
        <w:rPr>
          <w:rFonts w:ascii="Calibri" w:eastAsia="Times New Roman" w:hAnsi="Calibri" w:cs="Calibri"/>
          <w:b/>
          <w:color w:val="000000"/>
        </w:rPr>
        <w:t>TITLE 27</w:t>
      </w:r>
    </w:p>
    <w:p w14:paraId="321C6F93" w14:textId="77777777" w:rsidR="00600DE0" w:rsidRPr="000617F3" w:rsidRDefault="00000000">
      <w:pPr>
        <w:spacing w:before="1" w:line="249" w:lineRule="exact"/>
        <w:jc w:val="center"/>
        <w:textAlignment w:val="baseline"/>
        <w:rPr>
          <w:rFonts w:ascii="Calibri" w:eastAsia="Times New Roman" w:hAnsi="Calibri" w:cs="Calibri"/>
          <w:b/>
          <w:color w:val="000000"/>
        </w:rPr>
      </w:pPr>
      <w:r w:rsidRPr="000617F3">
        <w:rPr>
          <w:rFonts w:ascii="Calibri" w:eastAsia="Times New Roman" w:hAnsi="Calibri" w:cs="Calibri"/>
          <w:b/>
          <w:color w:val="000000"/>
        </w:rPr>
        <w:t>PROCEDURAL RULE</w:t>
      </w:r>
    </w:p>
    <w:p w14:paraId="07F124F6" w14:textId="77777777" w:rsidR="00600DE0" w:rsidRPr="000617F3" w:rsidRDefault="00000000">
      <w:pPr>
        <w:spacing w:before="5" w:line="249" w:lineRule="exact"/>
        <w:jc w:val="center"/>
        <w:textAlignment w:val="baseline"/>
        <w:rPr>
          <w:rFonts w:ascii="Calibri" w:eastAsia="Times New Roman" w:hAnsi="Calibri" w:cs="Calibri"/>
          <w:b/>
          <w:color w:val="000000"/>
        </w:rPr>
      </w:pPr>
      <w:r w:rsidRPr="000617F3">
        <w:rPr>
          <w:rFonts w:ascii="Calibri" w:eastAsia="Times New Roman" w:hAnsi="Calibri" w:cs="Calibri"/>
          <w:b/>
          <w:color w:val="000000"/>
        </w:rPr>
        <w:t>BOARD OF EXAMINERS IN COUNSELING</w:t>
      </w:r>
    </w:p>
    <w:p w14:paraId="49239A94" w14:textId="77777777" w:rsidR="00600DE0" w:rsidRPr="000617F3" w:rsidRDefault="00000000">
      <w:pPr>
        <w:spacing w:before="255" w:line="249" w:lineRule="exact"/>
        <w:jc w:val="center"/>
        <w:textAlignment w:val="baseline"/>
        <w:rPr>
          <w:rFonts w:ascii="Calibri" w:eastAsia="Times New Roman" w:hAnsi="Calibri" w:cs="Calibri"/>
          <w:b/>
          <w:color w:val="000000"/>
          <w:spacing w:val="-1"/>
        </w:rPr>
      </w:pPr>
      <w:r w:rsidRPr="000617F3">
        <w:rPr>
          <w:rFonts w:ascii="Calibri" w:eastAsia="Times New Roman" w:hAnsi="Calibri" w:cs="Calibri"/>
          <w:b/>
          <w:color w:val="000000"/>
          <w:spacing w:val="-1"/>
        </w:rPr>
        <w:t>SERIES 6</w:t>
      </w:r>
    </w:p>
    <w:p w14:paraId="44FDC772" w14:textId="1F18B8DC" w:rsidR="00600DE0" w:rsidRPr="00924E95" w:rsidRDefault="00BC0BD0" w:rsidP="00924E95">
      <w:pPr>
        <w:spacing w:before="6" w:after="494" w:line="249" w:lineRule="exact"/>
        <w:jc w:val="center"/>
        <w:textAlignment w:val="baseline"/>
        <w:rPr>
          <w:rFonts w:ascii="Calibri" w:eastAsia="Times New Roman" w:hAnsi="Calibri" w:cs="Calibri"/>
          <w:b/>
          <w:color w:val="000000"/>
        </w:rPr>
        <w:sectPr w:rsidR="00600DE0" w:rsidRPr="00924E95">
          <w:type w:val="continuous"/>
          <w:pgSz w:w="12240" w:h="15840"/>
          <w:pgMar w:top="720" w:right="1430" w:bottom="200" w:left="1435" w:header="720" w:footer="720" w:gutter="0"/>
          <w:cols w:space="720"/>
        </w:sectPr>
      </w:pPr>
      <w:r>
        <w:rPr>
          <w:rFonts w:ascii="Calibri" w:eastAsia="Times New Roman" w:hAnsi="Calibri" w:cs="Calibri"/>
          <w:b/>
          <w:color w:val="000000"/>
        </w:rPr>
        <w:t xml:space="preserve"> </w:t>
      </w:r>
      <w:r w:rsidRPr="000617F3">
        <w:rPr>
          <w:rFonts w:ascii="Calibri" w:eastAsia="Times New Roman" w:hAnsi="Calibri" w:cs="Calibri"/>
          <w:b/>
          <w:color w:val="000000"/>
        </w:rPr>
        <w:t>CONTESTED CASE HEARING PROCEDURE</w:t>
      </w:r>
      <w:r w:rsidR="00924E95">
        <w:rPr>
          <w:rFonts w:ascii="Calibri" w:eastAsia="Times New Roman" w:hAnsi="Calibri" w:cs="Calibri"/>
          <w:b/>
          <w:color w:val="000000"/>
        </w:rPr>
        <w:t xml:space="preserve"> </w:t>
      </w:r>
      <w:r w:rsidR="00924E95" w:rsidRPr="00B01ED1">
        <w:rPr>
          <w:rFonts w:ascii="Calibri" w:eastAsia="Times New Roman" w:hAnsi="Calibri" w:cs="Calibri"/>
          <w:b/>
          <w:color w:val="000000"/>
        </w:rPr>
        <w:t>FOR LICENSED PROFESSIONAL COUNSELORS</w:t>
      </w:r>
    </w:p>
    <w:p w14:paraId="56D9480A" w14:textId="77777777" w:rsidR="00600DE0" w:rsidRPr="000617F3" w:rsidRDefault="00000000">
      <w:pPr>
        <w:spacing w:before="4" w:line="249" w:lineRule="exact"/>
        <w:textAlignment w:val="baseline"/>
        <w:rPr>
          <w:rFonts w:ascii="Calibri" w:eastAsia="Times New Roman" w:hAnsi="Calibri" w:cs="Calibri"/>
          <w:b/>
          <w:color w:val="000000"/>
        </w:rPr>
      </w:pPr>
      <w:r w:rsidRPr="000617F3">
        <w:rPr>
          <w:rFonts w:ascii="Calibri" w:eastAsia="Times New Roman" w:hAnsi="Calibri" w:cs="Calibri"/>
          <w:b/>
          <w:color w:val="000000"/>
        </w:rPr>
        <w:t>§27-6-1. General.</w:t>
      </w:r>
    </w:p>
    <w:p w14:paraId="68AD897D" w14:textId="77777777" w:rsidR="00600DE0" w:rsidRPr="000617F3" w:rsidRDefault="00000000">
      <w:pPr>
        <w:spacing w:before="250" w:line="254"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1.1. Scope. -- This rule specifies the procedure for the adjudication of contested case hearings before the Board.</w:t>
      </w:r>
    </w:p>
    <w:p w14:paraId="55F3F804" w14:textId="77777777" w:rsidR="00F34C5F" w:rsidRPr="000617F3" w:rsidRDefault="00000000" w:rsidP="00F34C5F">
      <w:pPr>
        <w:spacing w:before="250" w:line="254" w:lineRule="exact"/>
        <w:ind w:firstLine="360"/>
        <w:jc w:val="both"/>
        <w:textAlignment w:val="baseline"/>
        <w:rPr>
          <w:rFonts w:ascii="Calibri" w:hAnsi="Calibri" w:cs="Calibri"/>
          <w:color w:val="222222"/>
          <w:shd w:val="clear" w:color="auto" w:fill="FFFFFF"/>
        </w:rPr>
      </w:pPr>
      <w:r w:rsidRPr="000617F3">
        <w:rPr>
          <w:rFonts w:ascii="Calibri" w:eastAsia="Times New Roman" w:hAnsi="Calibri" w:cs="Calibri"/>
          <w:color w:val="000000"/>
        </w:rPr>
        <w:t xml:space="preserve">1.2. Authority. -- </w:t>
      </w:r>
      <w:r w:rsidR="00F34C5F" w:rsidRPr="000617F3">
        <w:rPr>
          <w:rFonts w:ascii="Calibri" w:hAnsi="Calibri" w:cs="Calibri"/>
          <w:color w:val="222222"/>
          <w:shd w:val="clear" w:color="auto" w:fill="FFFFFF"/>
        </w:rPr>
        <w:t>W. Va. Code §§ 30-31-1 et seq., 30-1-1 et seq., and 29A-5-1 et seq.</w:t>
      </w:r>
    </w:p>
    <w:p w14:paraId="408874B3" w14:textId="2EE098EB" w:rsidR="00E35667" w:rsidRPr="000617F3" w:rsidRDefault="00000000" w:rsidP="00F34C5F">
      <w:pPr>
        <w:spacing w:before="250" w:line="254"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1.3. Filing Date. </w:t>
      </w:r>
      <w:r w:rsidR="00B01ED1">
        <w:rPr>
          <w:rFonts w:ascii="Calibri" w:eastAsia="Times New Roman" w:hAnsi="Calibri" w:cs="Calibri"/>
          <w:color w:val="000000"/>
        </w:rPr>
        <w:t>–</w:t>
      </w:r>
      <w:r w:rsidRPr="000617F3">
        <w:rPr>
          <w:rFonts w:ascii="Calibri" w:eastAsia="Times New Roman" w:hAnsi="Calibri" w:cs="Calibri"/>
          <w:color w:val="000000"/>
        </w:rPr>
        <w:t xml:space="preserve"> </w:t>
      </w:r>
      <w:r w:rsidR="00B01ED1" w:rsidRPr="00B01ED1">
        <w:rPr>
          <w:rFonts w:ascii="Calibri" w:eastAsia="Times New Roman" w:hAnsi="Calibri" w:cs="Calibri"/>
          <w:color w:val="000000"/>
        </w:rPr>
        <w:t>September 22, 2025</w:t>
      </w:r>
      <w:r w:rsidRPr="000617F3">
        <w:rPr>
          <w:rFonts w:ascii="Calibri" w:eastAsia="Times New Roman" w:hAnsi="Calibri" w:cs="Calibri"/>
          <w:color w:val="000000"/>
        </w:rPr>
        <w:t xml:space="preserve">. </w:t>
      </w:r>
    </w:p>
    <w:p w14:paraId="12ABD368" w14:textId="76C5F2FB" w:rsidR="00E35667" w:rsidRPr="000617F3" w:rsidRDefault="00000000">
      <w:pPr>
        <w:spacing w:line="506" w:lineRule="exact"/>
        <w:ind w:left="144" w:right="288" w:firstLine="216"/>
        <w:textAlignment w:val="baseline"/>
        <w:rPr>
          <w:rFonts w:ascii="Calibri" w:eastAsia="Times New Roman" w:hAnsi="Calibri" w:cs="Calibri"/>
          <w:color w:val="000000"/>
        </w:rPr>
      </w:pPr>
      <w:r w:rsidRPr="000617F3">
        <w:rPr>
          <w:rFonts w:ascii="Calibri" w:eastAsia="Times New Roman" w:hAnsi="Calibri" w:cs="Calibri"/>
          <w:color w:val="000000"/>
        </w:rPr>
        <w:t xml:space="preserve">1.4. Effective Date. </w:t>
      </w:r>
      <w:r w:rsidR="00B01ED1">
        <w:rPr>
          <w:rFonts w:ascii="Calibri" w:eastAsia="Times New Roman" w:hAnsi="Calibri" w:cs="Calibri"/>
          <w:color w:val="000000"/>
        </w:rPr>
        <w:t>–</w:t>
      </w:r>
      <w:r w:rsidRPr="000617F3">
        <w:rPr>
          <w:rFonts w:ascii="Calibri" w:eastAsia="Times New Roman" w:hAnsi="Calibri" w:cs="Calibri"/>
          <w:color w:val="000000"/>
        </w:rPr>
        <w:t xml:space="preserve"> </w:t>
      </w:r>
      <w:r w:rsidR="00E21A81">
        <w:rPr>
          <w:rFonts w:ascii="Calibri" w:eastAsia="Times New Roman" w:hAnsi="Calibri" w:cs="Calibri"/>
          <w:color w:val="000000"/>
        </w:rPr>
        <w:t>October</w:t>
      </w:r>
      <w:r w:rsidR="00B01ED1">
        <w:rPr>
          <w:rFonts w:ascii="Calibri" w:eastAsia="Times New Roman" w:hAnsi="Calibri" w:cs="Calibri"/>
          <w:color w:val="000000"/>
        </w:rPr>
        <w:t xml:space="preserve"> 22, 2025</w:t>
      </w:r>
      <w:r w:rsidRPr="000617F3">
        <w:rPr>
          <w:rFonts w:ascii="Calibri" w:eastAsia="Times New Roman" w:hAnsi="Calibri" w:cs="Calibri"/>
          <w:color w:val="000000"/>
        </w:rPr>
        <w:t>.</w:t>
      </w:r>
    </w:p>
    <w:p w14:paraId="2C5ACC2E" w14:textId="15EF26AF" w:rsidR="00600DE0" w:rsidRPr="000617F3" w:rsidRDefault="00000000">
      <w:pPr>
        <w:spacing w:line="506" w:lineRule="exact"/>
        <w:ind w:left="144" w:right="288" w:firstLine="216"/>
        <w:textAlignment w:val="baseline"/>
        <w:rPr>
          <w:rFonts w:ascii="Calibri" w:eastAsia="Times New Roman" w:hAnsi="Calibri" w:cs="Calibri"/>
          <w:color w:val="000000"/>
        </w:rPr>
      </w:pPr>
      <w:r w:rsidRPr="000617F3">
        <w:rPr>
          <w:rFonts w:ascii="Calibri" w:eastAsia="Times New Roman" w:hAnsi="Calibri" w:cs="Calibri"/>
          <w:color w:val="000000"/>
        </w:rPr>
        <w:t xml:space="preserve"> </w:t>
      </w:r>
      <w:r w:rsidRPr="000617F3">
        <w:rPr>
          <w:rFonts w:ascii="Calibri" w:eastAsia="Times New Roman" w:hAnsi="Calibri" w:cs="Calibri"/>
          <w:b/>
          <w:color w:val="000000"/>
        </w:rPr>
        <w:t>§27-6-2. Application.</w:t>
      </w:r>
    </w:p>
    <w:p w14:paraId="3257D0A9" w14:textId="47BB3F29" w:rsidR="00600DE0" w:rsidRPr="000617F3" w:rsidRDefault="00000000">
      <w:pPr>
        <w:spacing w:before="250" w:line="254"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This rule applies to all </w:t>
      </w:r>
      <w:r w:rsidR="006F68BA" w:rsidRPr="00B01ED1">
        <w:rPr>
          <w:rFonts w:ascii="Calibri" w:eastAsia="Times New Roman" w:hAnsi="Calibri" w:cs="Calibri"/>
          <w:color w:val="000000"/>
        </w:rPr>
        <w:t>people</w:t>
      </w:r>
      <w:r w:rsidR="006F68BA" w:rsidRPr="000617F3">
        <w:rPr>
          <w:rFonts w:ascii="Calibri" w:eastAsia="Times New Roman" w:hAnsi="Calibri" w:cs="Calibri"/>
          <w:color w:val="000000"/>
          <w:u w:val="single"/>
        </w:rPr>
        <w:t xml:space="preserve"> </w:t>
      </w:r>
      <w:r w:rsidRPr="000617F3">
        <w:rPr>
          <w:rFonts w:ascii="Calibri" w:eastAsia="Times New Roman" w:hAnsi="Calibri" w:cs="Calibri"/>
          <w:color w:val="000000"/>
        </w:rPr>
        <w:t>practicing or making application to practice as professional counselors.</w:t>
      </w:r>
    </w:p>
    <w:p w14:paraId="6DECB5F7" w14:textId="77777777" w:rsidR="00600DE0" w:rsidRPr="000617F3" w:rsidRDefault="00000000">
      <w:pPr>
        <w:spacing w:before="256" w:line="249" w:lineRule="exact"/>
        <w:textAlignment w:val="baseline"/>
        <w:rPr>
          <w:rFonts w:ascii="Calibri" w:eastAsia="Times New Roman" w:hAnsi="Calibri" w:cs="Calibri"/>
          <w:b/>
          <w:color w:val="000000"/>
        </w:rPr>
      </w:pPr>
      <w:r w:rsidRPr="000617F3">
        <w:rPr>
          <w:rFonts w:ascii="Calibri" w:eastAsia="Times New Roman" w:hAnsi="Calibri" w:cs="Calibri"/>
          <w:b/>
          <w:color w:val="000000"/>
        </w:rPr>
        <w:t>§27-6-3. Definitions.</w:t>
      </w:r>
    </w:p>
    <w:p w14:paraId="2D0DA504" w14:textId="77777777" w:rsidR="00600DE0" w:rsidRPr="000617F3" w:rsidRDefault="00000000">
      <w:pPr>
        <w:spacing w:before="256" w:line="252"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The following words and phrases as used in this rule shall have the following meanings, unless the context otherwise requires:</w:t>
      </w:r>
    </w:p>
    <w:p w14:paraId="7F804DA9" w14:textId="77777777" w:rsidR="00600DE0" w:rsidRPr="000617F3" w:rsidRDefault="00000000">
      <w:pPr>
        <w:spacing w:before="251" w:line="254"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3.1. "Applicant" means any person making application for an original or renewal license to practice counseling.</w:t>
      </w:r>
    </w:p>
    <w:p w14:paraId="783049F9" w14:textId="77777777" w:rsidR="00600DE0" w:rsidRPr="000617F3" w:rsidRDefault="00000000">
      <w:pPr>
        <w:spacing w:before="250" w:line="254"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3.2. "Board" means the West Virginia Board of Examiners in Counseling.</w:t>
      </w:r>
    </w:p>
    <w:p w14:paraId="6BD42BE7" w14:textId="5542DCC1" w:rsidR="00600DE0" w:rsidRPr="000617F3" w:rsidRDefault="00000000" w:rsidP="00E35667">
      <w:pPr>
        <w:tabs>
          <w:tab w:val="right" w:pos="4392"/>
        </w:tabs>
        <w:spacing w:before="256" w:line="248" w:lineRule="exact"/>
        <w:ind w:left="360"/>
        <w:jc w:val="both"/>
        <w:textAlignment w:val="baseline"/>
        <w:rPr>
          <w:rFonts w:ascii="Calibri" w:eastAsia="Times New Roman" w:hAnsi="Calibri" w:cs="Calibri"/>
          <w:color w:val="000000"/>
        </w:rPr>
      </w:pPr>
      <w:r w:rsidRPr="000617F3">
        <w:rPr>
          <w:rFonts w:ascii="Calibri" w:eastAsia="Times New Roman" w:hAnsi="Calibri" w:cs="Calibri"/>
          <w:color w:val="000000"/>
        </w:rPr>
        <w:t>3.3."Demanding party" means an</w:t>
      </w:r>
      <w:r w:rsidR="00E35667" w:rsidRPr="000617F3">
        <w:rPr>
          <w:rFonts w:ascii="Calibri" w:eastAsia="Times New Roman" w:hAnsi="Calibri" w:cs="Calibri"/>
          <w:color w:val="000000"/>
        </w:rPr>
        <w:t xml:space="preserve"> </w:t>
      </w:r>
      <w:r w:rsidRPr="000617F3">
        <w:rPr>
          <w:rFonts w:ascii="Calibri" w:eastAsia="Times New Roman" w:hAnsi="Calibri" w:cs="Calibri"/>
          <w:color w:val="000000"/>
        </w:rPr>
        <w:t>individual who has been denied a license to practice counseling by the Board and who, as a result, demands that a hearing be held before the Board on the issue of the denial.</w:t>
      </w:r>
    </w:p>
    <w:p w14:paraId="45A52B70" w14:textId="77777777" w:rsidR="00600DE0" w:rsidRPr="000617F3" w:rsidRDefault="00000000">
      <w:pPr>
        <w:spacing w:before="257" w:line="249" w:lineRule="exact"/>
        <w:ind w:firstLine="360"/>
        <w:jc w:val="both"/>
        <w:textAlignment w:val="baseline"/>
        <w:rPr>
          <w:rFonts w:ascii="Calibri" w:eastAsia="Times New Roman" w:hAnsi="Calibri" w:cs="Calibri"/>
          <w:color w:val="000000"/>
          <w:spacing w:val="2"/>
        </w:rPr>
      </w:pPr>
      <w:r w:rsidRPr="000617F3">
        <w:rPr>
          <w:rFonts w:ascii="Calibri" w:eastAsia="Times New Roman" w:hAnsi="Calibri" w:cs="Calibri"/>
          <w:color w:val="000000"/>
          <w:spacing w:val="2"/>
        </w:rPr>
        <w:t>3.4. "Charged party" means an individual who holds a license to practice counseling issued by the Board and who has been charged by the Board as described in subsection 5.4. of this rule.</w:t>
      </w:r>
    </w:p>
    <w:p w14:paraId="6C803E87" w14:textId="011BAA3D" w:rsidR="00600DE0" w:rsidRPr="000617F3" w:rsidRDefault="00000000" w:rsidP="006F68BA">
      <w:pPr>
        <w:spacing w:before="248" w:line="254"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3.5. "License" means a license issued by the Board to practice counseling.</w:t>
      </w:r>
    </w:p>
    <w:p w14:paraId="0EEBAEE4" w14:textId="77777777" w:rsidR="00600DE0" w:rsidRPr="000617F3" w:rsidRDefault="00000000" w:rsidP="006F68BA">
      <w:pPr>
        <w:spacing w:before="257" w:line="252"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3.6. "Licensee" means an individual who holds a license to practice counseling issued by the Board.</w:t>
      </w:r>
    </w:p>
    <w:p w14:paraId="02A11F66" w14:textId="77777777" w:rsidR="00600DE0" w:rsidRPr="000617F3" w:rsidRDefault="00000000">
      <w:pPr>
        <w:spacing w:before="251"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3.7. "Practice of counseling" means the practice of counseling as defined in W. Va. Code §30-31-2 and includes counselors who hold themselves out to the public to engage in counseling or supervising those who render services for compensation or other personal gain involving the application of mental health counseling procedures to help in learning how to solve problems or make decision related to careers, personal growth, marriage, family or other interpersonal or intrapersonal concerns.</w:t>
      </w:r>
    </w:p>
    <w:p w14:paraId="51ABCEB7" w14:textId="77777777" w:rsidR="00E35667" w:rsidRPr="000617F3" w:rsidRDefault="00E35667">
      <w:pPr>
        <w:spacing w:before="251" w:line="253" w:lineRule="exact"/>
        <w:ind w:firstLine="360"/>
        <w:jc w:val="both"/>
        <w:textAlignment w:val="baseline"/>
        <w:rPr>
          <w:rFonts w:ascii="Calibri" w:eastAsia="Times New Roman" w:hAnsi="Calibri" w:cs="Calibri"/>
          <w:color w:val="000000"/>
        </w:rPr>
      </w:pPr>
    </w:p>
    <w:p w14:paraId="1C0C5815" w14:textId="6991A40E" w:rsidR="00E35667" w:rsidRPr="000617F3" w:rsidRDefault="00E35667" w:rsidP="00E35667">
      <w:pPr>
        <w:spacing w:before="251" w:line="253" w:lineRule="exact"/>
        <w:ind w:firstLine="360"/>
        <w:jc w:val="center"/>
        <w:textAlignment w:val="baseline"/>
        <w:rPr>
          <w:rFonts w:ascii="Calibri" w:eastAsia="Times New Roman" w:hAnsi="Calibri" w:cs="Calibri"/>
          <w:color w:val="000000"/>
        </w:rPr>
      </w:pPr>
      <w:r w:rsidRPr="000617F3">
        <w:rPr>
          <w:rFonts w:ascii="Calibri" w:eastAsia="Times New Roman" w:hAnsi="Calibri" w:cs="Calibri"/>
          <w:color w:val="000000"/>
        </w:rPr>
        <w:t>1</w:t>
      </w:r>
    </w:p>
    <w:p w14:paraId="17EDA53D" w14:textId="134F905E" w:rsidR="00E35667" w:rsidRPr="000617F3" w:rsidRDefault="00E35667" w:rsidP="00E35667">
      <w:pPr>
        <w:spacing w:before="251" w:line="253" w:lineRule="exact"/>
        <w:ind w:firstLine="360"/>
        <w:jc w:val="center"/>
        <w:textAlignment w:val="baseline"/>
        <w:rPr>
          <w:rFonts w:ascii="Calibri" w:eastAsia="Times New Roman" w:hAnsi="Calibri" w:cs="Calibri"/>
          <w:color w:val="000000"/>
        </w:rPr>
      </w:pPr>
    </w:p>
    <w:p w14:paraId="07B0A387" w14:textId="38DBA90E" w:rsidR="00E35667" w:rsidRPr="000617F3" w:rsidRDefault="00E35667" w:rsidP="00E35667">
      <w:pPr>
        <w:spacing w:before="251" w:line="253" w:lineRule="exact"/>
        <w:ind w:firstLine="360"/>
        <w:jc w:val="center"/>
        <w:textAlignment w:val="baseline"/>
        <w:rPr>
          <w:rFonts w:ascii="Calibri" w:eastAsia="Times New Roman" w:hAnsi="Calibri" w:cs="Calibri"/>
          <w:color w:val="000000"/>
        </w:rPr>
      </w:pPr>
      <w:r w:rsidRPr="000617F3">
        <w:rPr>
          <w:rFonts w:ascii="Calibri" w:eastAsia="Times New Roman" w:hAnsi="Calibri" w:cs="Calibri"/>
          <w:color w:val="000000"/>
        </w:rPr>
        <w:lastRenderedPageBreak/>
        <w:t>27CSR6</w:t>
      </w:r>
    </w:p>
    <w:p w14:paraId="7A3E32DD" w14:textId="77777777" w:rsidR="00600DE0" w:rsidRPr="000617F3" w:rsidRDefault="00000000">
      <w:pPr>
        <w:spacing w:before="254" w:line="255" w:lineRule="exact"/>
        <w:jc w:val="both"/>
        <w:textAlignment w:val="baseline"/>
        <w:rPr>
          <w:rFonts w:ascii="Calibri" w:eastAsia="Times New Roman" w:hAnsi="Calibri" w:cs="Calibri"/>
          <w:b/>
          <w:color w:val="000000"/>
        </w:rPr>
      </w:pPr>
      <w:r w:rsidRPr="000617F3">
        <w:rPr>
          <w:rFonts w:ascii="Calibri" w:eastAsia="Times New Roman" w:hAnsi="Calibri" w:cs="Calibri"/>
          <w:b/>
          <w:color w:val="000000"/>
        </w:rPr>
        <w:t>§27-6-4. Pre-conferences; Conferences; Informal Disposition of Cases.</w:t>
      </w:r>
    </w:p>
    <w:p w14:paraId="3F324BF0" w14:textId="77777777" w:rsidR="00600DE0" w:rsidRPr="000617F3" w:rsidRDefault="00000000">
      <w:pPr>
        <w:spacing w:before="251" w:line="252"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4.1. At any time prior to the hearing or thereafter, the Board, or its designee may hold conferences for the following purposes:</w:t>
      </w:r>
    </w:p>
    <w:p w14:paraId="6E303F49" w14:textId="5E74E68B" w:rsidR="00600DE0" w:rsidRPr="000617F3" w:rsidRDefault="00000000" w:rsidP="00E35667">
      <w:pPr>
        <w:tabs>
          <w:tab w:val="right" w:pos="4320"/>
        </w:tabs>
        <w:spacing w:before="261" w:line="248" w:lineRule="exact"/>
        <w:ind w:left="720"/>
        <w:textAlignment w:val="baseline"/>
        <w:rPr>
          <w:rFonts w:ascii="Calibri" w:eastAsia="Times New Roman" w:hAnsi="Calibri" w:cs="Calibri"/>
          <w:color w:val="000000"/>
        </w:rPr>
      </w:pPr>
      <w:r w:rsidRPr="000617F3">
        <w:rPr>
          <w:rFonts w:ascii="Calibri" w:eastAsia="Times New Roman" w:hAnsi="Calibri" w:cs="Calibri"/>
          <w:color w:val="000000"/>
        </w:rPr>
        <w:t>4.1.a.</w:t>
      </w:r>
      <w:r w:rsidR="006F68BA" w:rsidRPr="000617F3">
        <w:rPr>
          <w:rFonts w:ascii="Calibri" w:eastAsia="Times New Roman" w:hAnsi="Calibri" w:cs="Calibri"/>
          <w:color w:val="000000"/>
        </w:rPr>
        <w:t xml:space="preserve"> </w:t>
      </w:r>
      <w:r w:rsidRPr="000617F3">
        <w:rPr>
          <w:rFonts w:ascii="Calibri" w:eastAsia="Times New Roman" w:hAnsi="Calibri" w:cs="Calibri"/>
          <w:color w:val="000000"/>
        </w:rPr>
        <w:t>To dispose of procedural</w:t>
      </w:r>
      <w:r w:rsidR="00E35667" w:rsidRPr="000617F3">
        <w:rPr>
          <w:rFonts w:ascii="Calibri" w:eastAsia="Times New Roman" w:hAnsi="Calibri" w:cs="Calibri"/>
          <w:color w:val="000000"/>
        </w:rPr>
        <w:t xml:space="preserve"> </w:t>
      </w:r>
      <w:r w:rsidRPr="000617F3">
        <w:rPr>
          <w:rFonts w:ascii="Calibri" w:eastAsia="Times New Roman" w:hAnsi="Calibri" w:cs="Calibri"/>
          <w:color w:val="000000"/>
          <w:spacing w:val="-1"/>
        </w:rPr>
        <w:t>requests, pre-hearing motions or similar matters;</w:t>
      </w:r>
    </w:p>
    <w:p w14:paraId="4BF8B3CD" w14:textId="77777777" w:rsidR="00600DE0" w:rsidRPr="000617F3" w:rsidRDefault="00000000">
      <w:pPr>
        <w:spacing w:before="259" w:line="250"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4.1.b. To simplify or settle issues by consent of the parties; or,</w:t>
      </w:r>
    </w:p>
    <w:p w14:paraId="1F16A90D" w14:textId="77777777" w:rsidR="00600DE0" w:rsidRPr="000617F3" w:rsidRDefault="00000000">
      <w:pPr>
        <w:spacing w:before="258" w:line="250"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4.1.c. To provide for the informal disposition of cases by stipulation or agreement.</w:t>
      </w:r>
    </w:p>
    <w:p w14:paraId="43600893" w14:textId="573317A1" w:rsidR="00600DE0" w:rsidRPr="000617F3" w:rsidRDefault="00000000">
      <w:pPr>
        <w:spacing w:before="257" w:line="252"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4.2. The Board may require conferences to be held on </w:t>
      </w:r>
      <w:r w:rsidR="006F68BA" w:rsidRPr="00B01ED1">
        <w:rPr>
          <w:rFonts w:ascii="Calibri" w:eastAsia="Times New Roman" w:hAnsi="Calibri" w:cs="Calibri"/>
          <w:color w:val="000000"/>
        </w:rPr>
        <w:t>(their)</w:t>
      </w:r>
      <w:r w:rsidR="006F68BA" w:rsidRPr="000617F3">
        <w:rPr>
          <w:rFonts w:ascii="Calibri" w:eastAsia="Times New Roman" w:hAnsi="Calibri" w:cs="Calibri"/>
          <w:color w:val="000000"/>
        </w:rPr>
        <w:t xml:space="preserve"> </w:t>
      </w:r>
      <w:r w:rsidRPr="000617F3">
        <w:rPr>
          <w:rFonts w:ascii="Calibri" w:eastAsia="Times New Roman" w:hAnsi="Calibri" w:cs="Calibri"/>
          <w:color w:val="000000"/>
        </w:rPr>
        <w:t xml:space="preserve">own motion </w:t>
      </w:r>
      <w:r w:rsidR="00B01ED1" w:rsidRPr="000617F3">
        <w:rPr>
          <w:rFonts w:ascii="Calibri" w:eastAsia="Times New Roman" w:hAnsi="Calibri" w:cs="Calibri"/>
          <w:color w:val="000000"/>
        </w:rPr>
        <w:t>or at</w:t>
      </w:r>
      <w:r w:rsidR="006F68BA" w:rsidRPr="000617F3">
        <w:rPr>
          <w:rFonts w:ascii="Calibri" w:eastAsia="Times New Roman" w:hAnsi="Calibri" w:cs="Calibri"/>
          <w:color w:val="000000"/>
          <w:u w:val="single"/>
        </w:rPr>
        <w:t xml:space="preserve"> </w:t>
      </w:r>
      <w:r w:rsidRPr="000617F3">
        <w:rPr>
          <w:rFonts w:ascii="Calibri" w:eastAsia="Times New Roman" w:hAnsi="Calibri" w:cs="Calibri"/>
          <w:color w:val="000000"/>
        </w:rPr>
        <w:t>the request of a party.</w:t>
      </w:r>
    </w:p>
    <w:p w14:paraId="2E7A26DD" w14:textId="4F544B50" w:rsidR="00E35667" w:rsidRPr="000617F3" w:rsidRDefault="00000000" w:rsidP="00E35667">
      <w:pPr>
        <w:spacing w:before="257" w:line="247"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4.3. The Board may also initiate or consider stipulation or agreement proposals </w:t>
      </w:r>
      <w:r w:rsidR="00B01ED1" w:rsidRPr="000617F3">
        <w:rPr>
          <w:rFonts w:ascii="Calibri" w:eastAsia="Times New Roman" w:hAnsi="Calibri" w:cs="Calibri"/>
          <w:color w:val="000000"/>
        </w:rPr>
        <w:t>regarding</w:t>
      </w:r>
      <w:r w:rsidRPr="000617F3">
        <w:rPr>
          <w:rFonts w:ascii="Calibri" w:eastAsia="Times New Roman" w:hAnsi="Calibri" w:cs="Calibri"/>
          <w:color w:val="000000"/>
        </w:rPr>
        <w:t xml:space="preserve"> the informal disposition of cases and may</w:t>
      </w:r>
      <w:r w:rsidR="00E35667" w:rsidRPr="000617F3">
        <w:rPr>
          <w:rFonts w:ascii="Calibri" w:eastAsia="Times New Roman" w:hAnsi="Calibri" w:cs="Calibri"/>
          <w:color w:val="000000"/>
        </w:rPr>
        <w:t xml:space="preserve"> enter into stipulations and/or agreements without conference.</w:t>
      </w:r>
    </w:p>
    <w:p w14:paraId="1F31B20C" w14:textId="77777777" w:rsidR="00E35667" w:rsidRPr="000617F3" w:rsidRDefault="00E35667" w:rsidP="00E35667">
      <w:pPr>
        <w:spacing w:before="256" w:line="249" w:lineRule="exact"/>
        <w:textAlignment w:val="baseline"/>
        <w:rPr>
          <w:rFonts w:ascii="Calibri" w:eastAsia="Times New Roman" w:hAnsi="Calibri" w:cs="Calibri"/>
          <w:b/>
          <w:color w:val="000000"/>
        </w:rPr>
      </w:pPr>
      <w:r w:rsidRPr="000617F3">
        <w:rPr>
          <w:rFonts w:ascii="Calibri" w:eastAsia="Times New Roman" w:hAnsi="Calibri" w:cs="Calibri"/>
          <w:b/>
          <w:color w:val="000000"/>
        </w:rPr>
        <w:t>§27-6-5. Hearing Procedure.</w:t>
      </w:r>
    </w:p>
    <w:p w14:paraId="50882DF5" w14:textId="2A3A6068" w:rsidR="00E35667" w:rsidRPr="000617F3" w:rsidRDefault="00E35667" w:rsidP="00E35667">
      <w:pPr>
        <w:spacing w:before="254"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5.1. Any applicant denied a license or any licensee or permit holder who has had their license suspended by the Board who believes the denial was in violation of </w:t>
      </w:r>
      <w:r w:rsidR="006F68BA" w:rsidRPr="000617F3">
        <w:rPr>
          <w:rFonts w:ascii="Calibri" w:eastAsia="Times New Roman" w:hAnsi="Calibri" w:cs="Calibri"/>
          <w:color w:val="000000"/>
        </w:rPr>
        <w:t>the W.</w:t>
      </w:r>
      <w:r w:rsidRPr="000617F3">
        <w:rPr>
          <w:rFonts w:ascii="Calibri" w:eastAsia="Times New Roman" w:hAnsi="Calibri" w:cs="Calibri"/>
          <w:color w:val="000000"/>
        </w:rPr>
        <w:t xml:space="preserve"> Va. Code §§30-1-1 et seq. and/or 30-31-1 et seq. is entitled to a hearing on the action denying or suspending such license.</w:t>
      </w:r>
    </w:p>
    <w:p w14:paraId="1357E14E" w14:textId="77777777" w:rsidR="00E35667" w:rsidRPr="000617F3" w:rsidRDefault="00E35667" w:rsidP="00E35667">
      <w:pPr>
        <w:spacing w:before="250"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5.2. Any person who desires a hearing for the reason described in subsection 5.1 of this section must present a written demand for a hearing to the Board.</w:t>
      </w:r>
    </w:p>
    <w:p w14:paraId="2D6B23E3" w14:textId="5B0F1A96" w:rsidR="00E35667" w:rsidRPr="000617F3" w:rsidRDefault="00E35667" w:rsidP="00E35667">
      <w:pPr>
        <w:spacing w:before="255"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5.3. A hearing will be scheduled within sixty (60) days of receipt of the written </w:t>
      </w:r>
      <w:r w:rsidR="00B01ED1" w:rsidRPr="000617F3">
        <w:rPr>
          <w:rFonts w:ascii="Calibri" w:eastAsia="Times New Roman" w:hAnsi="Calibri" w:cs="Calibri"/>
          <w:color w:val="000000"/>
        </w:rPr>
        <w:t>request</w:t>
      </w:r>
      <w:r w:rsidRPr="000617F3">
        <w:rPr>
          <w:rFonts w:ascii="Calibri" w:eastAsia="Times New Roman" w:hAnsi="Calibri" w:cs="Calibri"/>
          <w:color w:val="000000"/>
        </w:rPr>
        <w:t>. The hearing may be postponed to a later date by mutual agreement.</w:t>
      </w:r>
    </w:p>
    <w:p w14:paraId="48915585" w14:textId="5EE3C912" w:rsidR="00F34C5F" w:rsidRPr="000617F3" w:rsidRDefault="00E35667" w:rsidP="00F34C5F">
      <w:pPr>
        <w:spacing w:before="253" w:line="253" w:lineRule="exact"/>
        <w:ind w:firstLine="360"/>
        <w:jc w:val="both"/>
        <w:textAlignment w:val="baseline"/>
        <w:rPr>
          <w:rFonts w:ascii="Calibri" w:hAnsi="Calibri" w:cs="Calibri"/>
          <w:color w:val="222222"/>
          <w:shd w:val="clear" w:color="auto" w:fill="FFFFFF"/>
        </w:rPr>
      </w:pPr>
      <w:r w:rsidRPr="000617F3">
        <w:rPr>
          <w:rFonts w:ascii="Calibri" w:eastAsia="Times New Roman" w:hAnsi="Calibri" w:cs="Calibri"/>
          <w:color w:val="000000"/>
          <w:spacing w:val="2"/>
        </w:rPr>
        <w:t xml:space="preserve">5.4. </w:t>
      </w:r>
      <w:r w:rsidR="00F34C5F" w:rsidRPr="000617F3">
        <w:rPr>
          <w:rFonts w:ascii="Calibri" w:hAnsi="Calibri" w:cs="Calibri"/>
          <w:color w:val="222222"/>
          <w:shd w:val="clear" w:color="auto" w:fill="FFFFFF"/>
        </w:rPr>
        <w:t xml:space="preserve">Charges may be instituted against any licensee by the Board when probable cause exists for believing that the licensee may have engaged in conduct, practices or acts in such condition that </w:t>
      </w:r>
      <w:r w:rsidR="00B01ED1">
        <w:rPr>
          <w:rFonts w:ascii="Calibri" w:hAnsi="Calibri" w:cs="Calibri"/>
          <w:color w:val="222222"/>
          <w:shd w:val="clear" w:color="auto" w:fill="FFFFFF"/>
        </w:rPr>
        <w:t xml:space="preserve">their </w:t>
      </w:r>
      <w:r w:rsidR="00F34C5F" w:rsidRPr="000617F3">
        <w:rPr>
          <w:rFonts w:ascii="Calibri" w:hAnsi="Calibri" w:cs="Calibri"/>
          <w:color w:val="222222"/>
          <w:shd w:val="clear" w:color="auto" w:fill="FFFFFF"/>
        </w:rPr>
        <w:t xml:space="preserve"> license should be suspended, revoked or otherwise discipline for one or more of the grounds set forth in W. Va. Code § 30-31-9 et seq. and/or the Legislative Rules of the Board.  Charges may be based upon information received by way of a written complaint filed with the Board and further information gathered by the Board in the process of investigating a complaint.  Charges may also be based upon information received solely through investigative activities undertaken by the Board.</w:t>
      </w:r>
    </w:p>
    <w:p w14:paraId="4AA1D5B4" w14:textId="352ADDF2" w:rsidR="00E35667" w:rsidRPr="000617F3" w:rsidRDefault="00E35667" w:rsidP="00F34C5F">
      <w:pPr>
        <w:spacing w:before="253"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5.5. A complaint and notice of hearing containing the written charges filed against a licensee must be sent to the licensee at least 30 days prior to the date of the hearing.</w:t>
      </w:r>
    </w:p>
    <w:p w14:paraId="3D9037FB" w14:textId="77777777" w:rsidR="00E35667" w:rsidRPr="000617F3" w:rsidRDefault="00E35667" w:rsidP="00E35667">
      <w:pPr>
        <w:spacing w:before="254"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5.5.a. The Board is designated as the “Complainant” in the complaint and notice of hearing.</w:t>
      </w:r>
    </w:p>
    <w:p w14:paraId="018CF9BA" w14:textId="7E754DC2" w:rsidR="00E35667" w:rsidRPr="000617F3" w:rsidRDefault="00E35667" w:rsidP="00E35667">
      <w:pPr>
        <w:spacing w:before="253" w:line="246"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5.5.b. The licensee is designated as the “Respondent” in the complaint and notice of hearing.</w:t>
      </w:r>
    </w:p>
    <w:p w14:paraId="185517B5" w14:textId="1E23B1A1" w:rsidR="00E35667" w:rsidRPr="000617F3" w:rsidRDefault="00E35667" w:rsidP="00E35667">
      <w:pPr>
        <w:spacing w:before="251"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5.5.c. The complaint and notice of hearing must clearly state the substance of each offense, act of failure to act in sufficient detail to advise the Respondent of the charges or complaint against </w:t>
      </w:r>
      <w:r w:rsidR="00B01ED1">
        <w:rPr>
          <w:rFonts w:ascii="Calibri" w:eastAsia="Times New Roman" w:hAnsi="Calibri" w:cs="Calibri"/>
          <w:color w:val="000000"/>
        </w:rPr>
        <w:t>them</w:t>
      </w:r>
      <w:r w:rsidRPr="000617F3">
        <w:rPr>
          <w:rFonts w:ascii="Calibri" w:eastAsia="Times New Roman" w:hAnsi="Calibri" w:cs="Calibri"/>
          <w:color w:val="000000"/>
        </w:rPr>
        <w:t>. This may include, but is not limited to, the time and place the act or failure to act occurred and the law or rule that was violated.</w:t>
      </w:r>
    </w:p>
    <w:p w14:paraId="137B4B02" w14:textId="77777777" w:rsidR="00E35667" w:rsidRPr="000617F3" w:rsidRDefault="00E35667" w:rsidP="00E35667">
      <w:pPr>
        <w:spacing w:before="254"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5.5.d. The complaint and notice of hearing must give the date, time and place for the hearing.</w:t>
      </w:r>
    </w:p>
    <w:p w14:paraId="75D88628" w14:textId="0B03B547" w:rsidR="00E35667" w:rsidRPr="000617F3" w:rsidRDefault="007E7743" w:rsidP="00BC703F">
      <w:pPr>
        <w:spacing w:before="254" w:line="253" w:lineRule="exact"/>
        <w:ind w:firstLine="360"/>
        <w:jc w:val="center"/>
        <w:textAlignment w:val="baseline"/>
        <w:rPr>
          <w:rFonts w:ascii="Calibri" w:eastAsia="Times New Roman" w:hAnsi="Calibri" w:cs="Calibri"/>
          <w:b/>
          <w:bCs/>
          <w:color w:val="000000"/>
        </w:rPr>
      </w:pPr>
      <w:r w:rsidRPr="000617F3">
        <w:rPr>
          <w:rFonts w:ascii="Calibri" w:eastAsia="Times New Roman" w:hAnsi="Calibri" w:cs="Calibri"/>
          <w:b/>
          <w:bCs/>
          <w:color w:val="000000"/>
        </w:rPr>
        <w:t>2</w:t>
      </w:r>
    </w:p>
    <w:p w14:paraId="7A700E08" w14:textId="77777777" w:rsidR="00BB28F6" w:rsidRPr="000617F3" w:rsidRDefault="00BB28F6" w:rsidP="007E7743">
      <w:pPr>
        <w:spacing w:before="254" w:line="253" w:lineRule="exact"/>
        <w:jc w:val="center"/>
        <w:textAlignment w:val="baseline"/>
        <w:rPr>
          <w:rFonts w:ascii="Calibri" w:eastAsia="Times New Roman" w:hAnsi="Calibri" w:cs="Calibri"/>
          <w:color w:val="000000"/>
        </w:rPr>
      </w:pPr>
    </w:p>
    <w:p w14:paraId="07B6AE99" w14:textId="77777777" w:rsidR="00B01ED1" w:rsidRDefault="00B01ED1" w:rsidP="00BB28F6">
      <w:pPr>
        <w:spacing w:before="254" w:line="253" w:lineRule="exact"/>
        <w:jc w:val="center"/>
        <w:textAlignment w:val="baseline"/>
        <w:rPr>
          <w:rFonts w:ascii="Calibri" w:eastAsia="Times New Roman" w:hAnsi="Calibri" w:cs="Calibri"/>
          <w:color w:val="000000"/>
        </w:rPr>
      </w:pPr>
    </w:p>
    <w:p w14:paraId="487C32EE" w14:textId="4C197552" w:rsidR="00BB28F6" w:rsidRPr="000617F3" w:rsidRDefault="007E7743" w:rsidP="00BB28F6">
      <w:pPr>
        <w:spacing w:before="254" w:line="253" w:lineRule="exact"/>
        <w:jc w:val="center"/>
        <w:textAlignment w:val="baseline"/>
        <w:rPr>
          <w:rFonts w:ascii="Calibri" w:eastAsia="Times New Roman" w:hAnsi="Calibri" w:cs="Calibri"/>
          <w:color w:val="000000"/>
        </w:rPr>
      </w:pPr>
      <w:r w:rsidRPr="000617F3">
        <w:rPr>
          <w:rFonts w:ascii="Calibri" w:eastAsia="Times New Roman" w:hAnsi="Calibri" w:cs="Calibri"/>
          <w:color w:val="000000"/>
        </w:rPr>
        <w:lastRenderedPageBreak/>
        <w:t>27CSR6</w:t>
      </w:r>
    </w:p>
    <w:p w14:paraId="7BF938F1" w14:textId="17536804" w:rsidR="00E35667" w:rsidRPr="000617F3" w:rsidRDefault="00BB28F6" w:rsidP="00BB28F6">
      <w:pPr>
        <w:spacing w:before="254"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5.6. Upon receipt of a demand for a hearing described in subsections 5.1 and 5.2 of this section, the chair or </w:t>
      </w:r>
      <w:r w:rsidR="00B01ED1">
        <w:rPr>
          <w:rFonts w:ascii="Calibri" w:eastAsia="Times New Roman" w:hAnsi="Calibri" w:cs="Calibri"/>
          <w:color w:val="000000"/>
        </w:rPr>
        <w:t>their</w:t>
      </w:r>
      <w:r w:rsidRPr="000617F3">
        <w:rPr>
          <w:rFonts w:ascii="Calibri" w:eastAsia="Times New Roman" w:hAnsi="Calibri" w:cs="Calibri"/>
          <w:color w:val="000000"/>
        </w:rPr>
        <w:t xml:space="preserve"> designee shall provide the demanding party, with a Complaint and Notice of Hearing issued in the name of the Board as the agency of the state regulating the practice of counseling. </w:t>
      </w:r>
      <w:r w:rsidR="00E35667" w:rsidRPr="000617F3">
        <w:rPr>
          <w:rFonts w:ascii="Calibri" w:eastAsia="Times New Roman" w:hAnsi="Calibri" w:cs="Calibri"/>
          <w:color w:val="000000"/>
        </w:rPr>
        <w:t>Such Complaint and Notice of Hearing shall designate the demanding party as the “Complainant” and shall designate the Board as the “Respondent”; shall set out the substance of</w:t>
      </w:r>
      <w:r w:rsidR="00B01ED1">
        <w:rPr>
          <w:rFonts w:ascii="Calibri" w:eastAsia="Times New Roman" w:hAnsi="Calibri" w:cs="Calibri"/>
          <w:color w:val="000000"/>
        </w:rPr>
        <w:t xml:space="preserve"> all</w:t>
      </w:r>
      <w:r w:rsidR="00E35667" w:rsidRPr="000617F3">
        <w:rPr>
          <w:rFonts w:ascii="Calibri" w:eastAsia="Times New Roman" w:hAnsi="Calibri" w:cs="Calibri"/>
          <w:color w:val="000000"/>
        </w:rPr>
        <w:t xml:space="preserve"> reason</w:t>
      </w:r>
      <w:r w:rsidR="00B01ED1">
        <w:rPr>
          <w:rFonts w:ascii="Calibri" w:eastAsia="Times New Roman" w:hAnsi="Calibri" w:cs="Calibri"/>
          <w:color w:val="000000"/>
        </w:rPr>
        <w:t>s</w:t>
      </w:r>
      <w:r w:rsidR="00E35667" w:rsidRPr="000617F3">
        <w:rPr>
          <w:rFonts w:ascii="Calibri" w:eastAsia="Times New Roman" w:hAnsi="Calibri" w:cs="Calibri"/>
          <w:color w:val="000000"/>
        </w:rPr>
        <w:t xml:space="preserve"> that the Board has denied the demanding party a license or permit with sufficient particularity to reasonably apprise the demanding party of the nature, time and place of the conduct or condition at issue therein; and shall state the date, time and place for the hearing.</w:t>
      </w:r>
    </w:p>
    <w:p w14:paraId="230A7A5D" w14:textId="77777777" w:rsidR="00E35667" w:rsidRPr="000617F3" w:rsidRDefault="00E35667" w:rsidP="00E35667">
      <w:pPr>
        <w:spacing w:before="254"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5.7. The Board may require the person demanding the hearing to give security for the costs of the hearing and if the demanding party does not substantially prevail, the actual costs of the hearing may be assessed against them and may be collected in a civil action or by other proper remedy.</w:t>
      </w:r>
    </w:p>
    <w:p w14:paraId="640506F1" w14:textId="65BD454F" w:rsidR="00E35667" w:rsidRPr="000617F3" w:rsidRDefault="00E35667" w:rsidP="00E35667">
      <w:pPr>
        <w:spacing w:before="249"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5.8. The Board may amend the charges set forth in a Complaint and Notice of Hearing, as it deems proper</w:t>
      </w:r>
      <w:r w:rsidR="00F34C5F" w:rsidRPr="000617F3">
        <w:rPr>
          <w:rFonts w:ascii="Calibri" w:hAnsi="Calibri" w:cs="Calibri"/>
          <w:color w:val="222222"/>
          <w:shd w:val="clear" w:color="auto" w:fill="FFFFFF"/>
        </w:rPr>
        <w:t xml:space="preserve"> </w:t>
      </w:r>
      <w:r w:rsidR="00F34C5F" w:rsidRPr="00B01ED1">
        <w:rPr>
          <w:rFonts w:ascii="Calibri" w:hAnsi="Calibri" w:cs="Calibri"/>
          <w:color w:val="222222"/>
          <w:shd w:val="clear" w:color="auto" w:fill="FFFFFF"/>
        </w:rPr>
        <w:t>with thirty (30) days’ notice.</w:t>
      </w:r>
    </w:p>
    <w:p w14:paraId="2FE83E7E" w14:textId="77777777" w:rsidR="00E35667" w:rsidRPr="000617F3" w:rsidRDefault="00E35667" w:rsidP="00E35667">
      <w:pPr>
        <w:spacing w:before="256" w:line="253" w:lineRule="exact"/>
        <w:ind w:firstLine="360"/>
        <w:jc w:val="both"/>
        <w:textAlignment w:val="baseline"/>
        <w:rPr>
          <w:rFonts w:ascii="Calibri" w:eastAsia="Times New Roman" w:hAnsi="Calibri" w:cs="Calibri"/>
          <w:color w:val="000000"/>
          <w:spacing w:val="1"/>
        </w:rPr>
      </w:pPr>
      <w:r w:rsidRPr="000617F3">
        <w:rPr>
          <w:rFonts w:ascii="Calibri" w:eastAsia="Times New Roman" w:hAnsi="Calibri" w:cs="Calibri"/>
          <w:color w:val="000000"/>
          <w:spacing w:val="1"/>
        </w:rPr>
        <w:t>5.9. A Complaint and Notice of Hearing must be served upon the demanding or charged party at least thirty (30) days prior to the date of hearing.</w:t>
      </w:r>
    </w:p>
    <w:p w14:paraId="6DA21D3C" w14:textId="75CA325F" w:rsidR="00E35667" w:rsidRPr="000617F3" w:rsidRDefault="00E35667" w:rsidP="00E35667">
      <w:pPr>
        <w:spacing w:before="251" w:line="239" w:lineRule="exact"/>
        <w:ind w:left="360"/>
        <w:jc w:val="both"/>
        <w:textAlignment w:val="baseline"/>
        <w:rPr>
          <w:rFonts w:ascii="Calibri" w:eastAsia="Times New Roman" w:hAnsi="Calibri" w:cs="Calibri"/>
          <w:color w:val="000000"/>
          <w:spacing w:val="12"/>
          <w:u w:val="single"/>
        </w:rPr>
      </w:pPr>
      <w:r w:rsidRPr="000617F3">
        <w:rPr>
          <w:rFonts w:ascii="Calibri" w:eastAsia="Times New Roman" w:hAnsi="Calibri" w:cs="Calibri"/>
          <w:color w:val="000000"/>
          <w:spacing w:val="12"/>
        </w:rPr>
        <w:t xml:space="preserve">5.10. </w:t>
      </w:r>
      <w:r w:rsidR="008C60EB" w:rsidRPr="00B01ED1">
        <w:rPr>
          <w:rFonts w:ascii="Calibri" w:hAnsi="Calibri" w:cs="Calibri"/>
          <w:color w:val="222222"/>
          <w:shd w:val="clear" w:color="auto" w:fill="FFFFFF"/>
        </w:rPr>
        <w:t>Upon a written motion received by the Board no later than twenty (20) days prior to the date of hearing, a more definite statement of the matters charged or the reasons stated for denial of a license and/or permit shall be provided to the demanding or charged party or their counsel, at least ten (10) days prior to the hearing date.</w:t>
      </w:r>
    </w:p>
    <w:p w14:paraId="19CC5B11" w14:textId="5E82F3D1" w:rsidR="00E35667" w:rsidRPr="000617F3" w:rsidRDefault="00E35667" w:rsidP="008C60EB">
      <w:pPr>
        <w:tabs>
          <w:tab w:val="right" w:pos="4320"/>
        </w:tabs>
        <w:spacing w:before="256" w:line="253" w:lineRule="exact"/>
        <w:ind w:left="360"/>
        <w:textAlignment w:val="baseline"/>
        <w:rPr>
          <w:rFonts w:ascii="Calibri" w:eastAsia="Times New Roman" w:hAnsi="Calibri" w:cs="Calibri"/>
          <w:color w:val="000000"/>
        </w:rPr>
      </w:pPr>
      <w:r w:rsidRPr="000617F3">
        <w:rPr>
          <w:rFonts w:ascii="Calibri" w:eastAsia="Times New Roman" w:hAnsi="Calibri" w:cs="Calibri"/>
          <w:color w:val="000000"/>
        </w:rPr>
        <w:t>5.11. Hearings shall be conducted as</w:t>
      </w:r>
      <w:r w:rsidR="008C60EB" w:rsidRPr="000617F3">
        <w:rPr>
          <w:rFonts w:ascii="Calibri" w:eastAsia="Times New Roman" w:hAnsi="Calibri" w:cs="Calibri"/>
          <w:color w:val="000000"/>
        </w:rPr>
        <w:t xml:space="preserve"> </w:t>
      </w:r>
      <w:r w:rsidRPr="000617F3">
        <w:rPr>
          <w:rFonts w:ascii="Calibri" w:eastAsia="Times New Roman" w:hAnsi="Calibri" w:cs="Calibri"/>
          <w:color w:val="000000"/>
          <w:spacing w:val="-2"/>
        </w:rPr>
        <w:t>follows:</w:t>
      </w:r>
    </w:p>
    <w:p w14:paraId="7D1E4EDA" w14:textId="77777777" w:rsidR="00E35667" w:rsidRPr="000617F3" w:rsidRDefault="00E35667" w:rsidP="00E35667">
      <w:pPr>
        <w:spacing w:line="249" w:lineRule="exact"/>
        <w:textAlignment w:val="baseline"/>
        <w:rPr>
          <w:rFonts w:ascii="Calibri" w:eastAsia="Times New Roman" w:hAnsi="Calibri" w:cs="Calibri"/>
          <w:color w:val="000000"/>
          <w:spacing w:val="-2"/>
        </w:rPr>
      </w:pPr>
    </w:p>
    <w:p w14:paraId="4FCE57A4" w14:textId="77777777" w:rsidR="00E35667" w:rsidRPr="000617F3" w:rsidRDefault="00E35667" w:rsidP="00E35667">
      <w:pPr>
        <w:spacing w:before="1"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5.11.a. Any party to a hearing has the right to be represented by an attorney-at-law, duly qualified to practice law in the state of West Virginia.</w:t>
      </w:r>
    </w:p>
    <w:p w14:paraId="3A051ED2" w14:textId="77777777" w:rsidR="00E35667" w:rsidRPr="000617F3" w:rsidRDefault="00E35667" w:rsidP="00E35667">
      <w:pPr>
        <w:spacing w:before="253"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5.11.b. The Board shall be represented by the West Virginia Attorney General's Office.</w:t>
      </w:r>
    </w:p>
    <w:p w14:paraId="4611D532" w14:textId="109D40DA" w:rsidR="00E35667" w:rsidRPr="000617F3" w:rsidRDefault="00E35667" w:rsidP="00F34C5F">
      <w:pPr>
        <w:spacing w:before="255"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5.11.c. Irrelevant, immaterial, or unduly repetitious evidence shall be excluded from the hearing. Furthermore, the rules of evidence as applied in civil cases in the circuit courts of this</w:t>
      </w:r>
      <w:r w:rsidR="00F34C5F" w:rsidRPr="000617F3">
        <w:rPr>
          <w:rFonts w:ascii="Calibri" w:eastAsia="Times New Roman" w:hAnsi="Calibri" w:cs="Calibri"/>
          <w:color w:val="000000"/>
        </w:rPr>
        <w:t xml:space="preserve"> </w:t>
      </w:r>
      <w:r w:rsidRPr="000617F3">
        <w:rPr>
          <w:rFonts w:ascii="Calibri" w:eastAsia="Times New Roman" w:hAnsi="Calibri" w:cs="Calibri"/>
          <w:color w:val="000000"/>
        </w:rPr>
        <w:t>state shall be followed</w:t>
      </w:r>
      <w:r w:rsidR="00F34C5F" w:rsidRPr="000617F3">
        <w:rPr>
          <w:rFonts w:ascii="Calibri" w:eastAsia="Times New Roman" w:hAnsi="Calibri" w:cs="Calibri"/>
          <w:color w:val="000000"/>
        </w:rPr>
        <w:t xml:space="preserve">. </w:t>
      </w:r>
      <w:r w:rsidRPr="000617F3">
        <w:rPr>
          <w:rFonts w:ascii="Calibri" w:eastAsia="Times New Roman" w:hAnsi="Calibri" w:cs="Calibri"/>
          <w:color w:val="000000"/>
        </w:rPr>
        <w:t xml:space="preserve">However, when necessary to ascertain facts not reasonably susceptible </w:t>
      </w:r>
      <w:r w:rsidR="00B01ED1" w:rsidRPr="000617F3">
        <w:rPr>
          <w:rFonts w:ascii="Calibri" w:eastAsia="Times New Roman" w:hAnsi="Calibri" w:cs="Calibri"/>
          <w:color w:val="000000"/>
        </w:rPr>
        <w:t>to</w:t>
      </w:r>
      <w:r w:rsidRPr="000617F3">
        <w:rPr>
          <w:rFonts w:ascii="Calibri" w:eastAsia="Times New Roman" w:hAnsi="Calibri" w:cs="Calibri"/>
          <w:color w:val="000000"/>
        </w:rPr>
        <w:t xml:space="preserve"> proof under those rules, evidence not admissible thereunder may be admitted, except where precluded by statute, if it is of a type commonly relied upon by reasonably prudent persons in the conduct of their affairs</w:t>
      </w:r>
    </w:p>
    <w:p w14:paraId="0D8EC663" w14:textId="421E00D7" w:rsidR="00E35667" w:rsidRPr="000617F3" w:rsidRDefault="00E35667" w:rsidP="00E35667">
      <w:pPr>
        <w:tabs>
          <w:tab w:val="right" w:pos="4320"/>
        </w:tabs>
        <w:spacing w:before="251" w:line="253" w:lineRule="exact"/>
        <w:ind w:left="720"/>
        <w:textAlignment w:val="baseline"/>
        <w:rPr>
          <w:rFonts w:ascii="Calibri" w:eastAsia="Times New Roman" w:hAnsi="Calibri" w:cs="Calibri"/>
          <w:color w:val="000000"/>
        </w:rPr>
      </w:pPr>
      <w:r w:rsidRPr="000617F3">
        <w:rPr>
          <w:rFonts w:ascii="Calibri" w:eastAsia="Times New Roman" w:hAnsi="Calibri" w:cs="Calibri"/>
          <w:color w:val="000000"/>
        </w:rPr>
        <w:t>5.11.d.</w:t>
      </w:r>
      <w:r w:rsidRPr="000617F3">
        <w:rPr>
          <w:rFonts w:ascii="Calibri" w:eastAsia="Times New Roman" w:hAnsi="Calibri" w:cs="Calibri"/>
          <w:color w:val="000000"/>
        </w:rPr>
        <w:tab/>
        <w:t xml:space="preserve"> The rules of privilege recognized by the law of this state shall be followed.</w:t>
      </w:r>
    </w:p>
    <w:p w14:paraId="395D7917" w14:textId="77777777" w:rsidR="00E35667" w:rsidRPr="000617F3" w:rsidRDefault="00E35667" w:rsidP="00E35667">
      <w:pPr>
        <w:spacing w:before="250"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5.11.e. Objections to evidentiary offers shall be noted in the record. Any party to the hearing may vouch the record as to any excluded testimony or other evidence.</w:t>
      </w:r>
    </w:p>
    <w:p w14:paraId="51FB38E0" w14:textId="77777777" w:rsidR="00E35667" w:rsidRPr="000617F3" w:rsidRDefault="00E35667" w:rsidP="00E35667">
      <w:pPr>
        <w:spacing w:before="253"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5.11.f. Any party to a hearing may appear with witnesses to testify on his or her behalf; may be heard in person, by counsel or both; may present such other evidence in support of his or her position as deemed appropriate by the Board and, when appropriate, may cross-examine witnesses called by the Board in support of the charges or in defense of its decision to deny licensure.</w:t>
      </w:r>
    </w:p>
    <w:p w14:paraId="78DF9C77" w14:textId="77777777" w:rsidR="00E35667" w:rsidRPr="000617F3" w:rsidRDefault="00E35667" w:rsidP="00E35667">
      <w:pPr>
        <w:spacing w:before="253" w:line="253" w:lineRule="exact"/>
        <w:ind w:firstLine="720"/>
        <w:jc w:val="both"/>
        <w:textAlignment w:val="baseline"/>
        <w:rPr>
          <w:rFonts w:ascii="Calibri" w:eastAsia="Times New Roman" w:hAnsi="Calibri" w:cs="Calibri"/>
          <w:color w:val="000000"/>
        </w:rPr>
      </w:pPr>
    </w:p>
    <w:p w14:paraId="4F51A33A" w14:textId="5A8DCA60" w:rsidR="009075DC" w:rsidRPr="009075DC" w:rsidRDefault="00E35667" w:rsidP="009075DC">
      <w:pPr>
        <w:spacing w:line="252" w:lineRule="exact"/>
        <w:jc w:val="both"/>
        <w:textAlignment w:val="baseline"/>
        <w:rPr>
          <w:rFonts w:ascii="Calibri" w:hAnsi="Calibri" w:cs="Calibri"/>
          <w:color w:val="222222"/>
          <w:shd w:val="clear" w:color="auto" w:fill="FFFFFF"/>
        </w:rPr>
      </w:pPr>
      <w:r w:rsidRPr="000617F3">
        <w:rPr>
          <w:rFonts w:ascii="Calibri" w:eastAsia="Times New Roman" w:hAnsi="Calibri" w:cs="Calibri"/>
          <w:color w:val="000000"/>
        </w:rPr>
        <w:t xml:space="preserve">5.11.g. </w:t>
      </w:r>
      <w:r w:rsidR="009075DC" w:rsidRPr="009075DC">
        <w:rPr>
          <w:rFonts w:ascii="Calibri" w:hAnsi="Calibri" w:cs="Calibri"/>
          <w:color w:val="222222"/>
          <w:shd w:val="clear" w:color="auto" w:fill="FFFFFF"/>
        </w:rPr>
        <w:t>The hearing will be held at such time and place designated by the Board, but no hearing shall be conducted unless at least thirty (30) days’ written notice of the hearing has been given.  Service of the notice shall be by personal service upon the charged or demanding party or by United States Mail addressed to the person’s last known address.</w:t>
      </w:r>
    </w:p>
    <w:p w14:paraId="0F7C8B63" w14:textId="09EFB95F" w:rsidR="00BB28F6" w:rsidRPr="000617F3" w:rsidRDefault="00BB28F6" w:rsidP="00BC703F">
      <w:pPr>
        <w:spacing w:line="252" w:lineRule="exact"/>
        <w:ind w:firstLine="720"/>
        <w:jc w:val="both"/>
        <w:textAlignment w:val="baseline"/>
        <w:rPr>
          <w:rFonts w:ascii="Calibri" w:eastAsia="Times New Roman" w:hAnsi="Calibri" w:cs="Calibri"/>
          <w:strike/>
          <w:color w:val="000000"/>
        </w:rPr>
      </w:pPr>
    </w:p>
    <w:p w14:paraId="5A52AEEE" w14:textId="77777777" w:rsidR="00BB28F6" w:rsidRPr="000617F3" w:rsidRDefault="00BB28F6" w:rsidP="00BC703F">
      <w:pPr>
        <w:spacing w:line="252" w:lineRule="exact"/>
        <w:ind w:firstLine="720"/>
        <w:jc w:val="both"/>
        <w:textAlignment w:val="baseline"/>
        <w:rPr>
          <w:rFonts w:ascii="Calibri" w:eastAsia="Times New Roman" w:hAnsi="Calibri" w:cs="Calibri"/>
          <w:strike/>
          <w:color w:val="000000"/>
        </w:rPr>
      </w:pPr>
    </w:p>
    <w:p w14:paraId="7785A412" w14:textId="77777777" w:rsidR="00BB28F6" w:rsidRPr="000617F3" w:rsidRDefault="00BB28F6" w:rsidP="00BC703F">
      <w:pPr>
        <w:spacing w:line="252" w:lineRule="exact"/>
        <w:ind w:firstLine="720"/>
        <w:jc w:val="both"/>
        <w:textAlignment w:val="baseline"/>
        <w:rPr>
          <w:rFonts w:ascii="Calibri" w:eastAsia="Times New Roman" w:hAnsi="Calibri" w:cs="Calibri"/>
          <w:strike/>
          <w:color w:val="000000"/>
        </w:rPr>
      </w:pPr>
    </w:p>
    <w:p w14:paraId="4BBB32CC" w14:textId="0C539C47" w:rsidR="00BB28F6" w:rsidRPr="000617F3" w:rsidRDefault="00BB28F6" w:rsidP="00BB28F6">
      <w:pPr>
        <w:spacing w:line="252" w:lineRule="exact"/>
        <w:jc w:val="center"/>
        <w:textAlignment w:val="baseline"/>
        <w:rPr>
          <w:rFonts w:ascii="Calibri" w:eastAsia="Times New Roman" w:hAnsi="Calibri" w:cs="Calibri"/>
          <w:color w:val="000000"/>
        </w:rPr>
      </w:pPr>
      <w:r w:rsidRPr="000617F3">
        <w:rPr>
          <w:rFonts w:ascii="Calibri" w:eastAsia="Times New Roman" w:hAnsi="Calibri" w:cs="Calibri"/>
          <w:color w:val="000000"/>
        </w:rPr>
        <w:t>3</w:t>
      </w:r>
    </w:p>
    <w:p w14:paraId="203A1A81" w14:textId="77777777" w:rsidR="009075DC" w:rsidRDefault="009075DC" w:rsidP="009075DC">
      <w:pPr>
        <w:spacing w:line="252" w:lineRule="exact"/>
        <w:jc w:val="both"/>
        <w:textAlignment w:val="baseline"/>
        <w:rPr>
          <w:rFonts w:ascii="Calibri" w:eastAsia="Times New Roman" w:hAnsi="Calibri" w:cs="Calibri"/>
          <w:strike/>
          <w:color w:val="000000"/>
        </w:rPr>
      </w:pPr>
    </w:p>
    <w:p w14:paraId="528EACD1" w14:textId="77777777" w:rsidR="009075DC" w:rsidRPr="000617F3" w:rsidRDefault="009075DC" w:rsidP="00BC703F">
      <w:pPr>
        <w:spacing w:line="252" w:lineRule="exact"/>
        <w:ind w:firstLine="720"/>
        <w:jc w:val="both"/>
        <w:textAlignment w:val="baseline"/>
        <w:rPr>
          <w:rFonts w:ascii="Calibri" w:eastAsia="Times New Roman" w:hAnsi="Calibri" w:cs="Calibri"/>
          <w:strike/>
          <w:color w:val="000000"/>
        </w:rPr>
      </w:pPr>
    </w:p>
    <w:p w14:paraId="380E3727" w14:textId="77777777" w:rsidR="00BB28F6" w:rsidRPr="000617F3" w:rsidRDefault="00BB28F6" w:rsidP="00BC703F">
      <w:pPr>
        <w:spacing w:line="252" w:lineRule="exact"/>
        <w:ind w:firstLine="720"/>
        <w:jc w:val="both"/>
        <w:textAlignment w:val="baseline"/>
        <w:rPr>
          <w:rFonts w:ascii="Calibri" w:eastAsia="Times New Roman" w:hAnsi="Calibri" w:cs="Calibri"/>
          <w:strike/>
          <w:color w:val="000000"/>
        </w:rPr>
      </w:pPr>
    </w:p>
    <w:p w14:paraId="7C745DA0" w14:textId="3FCFE017" w:rsidR="00BB28F6" w:rsidRPr="000617F3" w:rsidRDefault="00BB28F6" w:rsidP="00BB28F6">
      <w:pPr>
        <w:spacing w:line="252" w:lineRule="exact"/>
        <w:jc w:val="center"/>
        <w:textAlignment w:val="baseline"/>
        <w:rPr>
          <w:rFonts w:ascii="Calibri" w:eastAsia="Times New Roman" w:hAnsi="Calibri" w:cs="Calibri"/>
          <w:color w:val="000000"/>
        </w:rPr>
      </w:pPr>
      <w:r w:rsidRPr="000617F3">
        <w:rPr>
          <w:rFonts w:ascii="Calibri" w:eastAsia="Times New Roman" w:hAnsi="Calibri" w:cs="Calibri"/>
          <w:color w:val="000000"/>
        </w:rPr>
        <w:t>27CSR6</w:t>
      </w:r>
    </w:p>
    <w:p w14:paraId="4AEB8FF2" w14:textId="77777777" w:rsidR="00BC703F" w:rsidRPr="000617F3" w:rsidRDefault="00BC703F" w:rsidP="007E7743">
      <w:pPr>
        <w:spacing w:line="252" w:lineRule="exact"/>
        <w:jc w:val="both"/>
        <w:textAlignment w:val="baseline"/>
        <w:rPr>
          <w:rFonts w:ascii="Calibri" w:eastAsia="Times New Roman" w:hAnsi="Calibri" w:cs="Calibri"/>
          <w:color w:val="000000"/>
        </w:rPr>
      </w:pPr>
    </w:p>
    <w:p w14:paraId="6D0524A3" w14:textId="77777777" w:rsidR="00E35667" w:rsidRPr="000617F3" w:rsidRDefault="00E35667" w:rsidP="00E35667">
      <w:pPr>
        <w:spacing w:before="257"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5.11.h. The hearing shall be open to the general public.</w:t>
      </w:r>
    </w:p>
    <w:p w14:paraId="795B65B1" w14:textId="14C457FF" w:rsidR="00E35667" w:rsidRPr="000617F3" w:rsidRDefault="00E35667" w:rsidP="00E35667">
      <w:pPr>
        <w:spacing w:before="251"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5.11.i. Members of the Board and its officers, agents and employees are competent to testify at the hearing as to material and relevant matters: Provided, </w:t>
      </w:r>
      <w:r w:rsidR="003F119A" w:rsidRPr="000617F3">
        <w:rPr>
          <w:rFonts w:ascii="Calibri" w:eastAsia="Times New Roman" w:hAnsi="Calibri" w:cs="Calibri"/>
          <w:color w:val="000000"/>
        </w:rPr>
        <w:t>that</w:t>
      </w:r>
      <w:r w:rsidRPr="000617F3">
        <w:rPr>
          <w:rFonts w:ascii="Calibri" w:eastAsia="Times New Roman" w:hAnsi="Calibri" w:cs="Calibri"/>
          <w:color w:val="000000"/>
        </w:rPr>
        <w:t xml:space="preserve"> no member of the Board who testifies at such hearing shall thereafter participate in the deliberations or decisions of the Board with respect to the case in which he testified.</w:t>
      </w:r>
    </w:p>
    <w:p w14:paraId="42592778" w14:textId="77777777" w:rsidR="00E35667" w:rsidRPr="000617F3" w:rsidRDefault="00E35667" w:rsidP="00E35667">
      <w:pPr>
        <w:spacing w:before="252"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5.11.j. The hearing shall be conducted by a quorum of the Board.</w:t>
      </w:r>
    </w:p>
    <w:p w14:paraId="714BFD48" w14:textId="77777777" w:rsidR="00E35667" w:rsidRPr="000617F3" w:rsidRDefault="00E35667" w:rsidP="00E35667">
      <w:pPr>
        <w:spacing w:before="254"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5.11.k. A stenographic report of each proceeding on the denial, suspension or revocation of a certificate, license, registration or authority shall be made at the expense of the Board and a transcript thereof retained in the Board’s files. The Board will make a written report of its findings, which shall constitute part of the record. Upon request, a copy of the report(s) will be furnished to the respondent at his or her expense.</w:t>
      </w:r>
    </w:p>
    <w:p w14:paraId="0B40B96E" w14:textId="77777777" w:rsidR="00E35667" w:rsidRDefault="00E35667" w:rsidP="00E35667">
      <w:pPr>
        <w:spacing w:before="251"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5.11.l. Documentary evidence, written or recorded evidence, may be received in the form of copies or excerpts or by incorporation by reference.</w:t>
      </w:r>
    </w:p>
    <w:p w14:paraId="6193E39F" w14:textId="77777777" w:rsidR="003F119A" w:rsidRPr="000617F3" w:rsidRDefault="003F119A" w:rsidP="00E35667">
      <w:pPr>
        <w:spacing w:before="251" w:line="253" w:lineRule="exact"/>
        <w:ind w:firstLine="720"/>
        <w:jc w:val="both"/>
        <w:textAlignment w:val="baseline"/>
        <w:rPr>
          <w:rFonts w:ascii="Calibri" w:eastAsia="Times New Roman" w:hAnsi="Calibri" w:cs="Calibri"/>
          <w:color w:val="000000"/>
        </w:rPr>
      </w:pPr>
    </w:p>
    <w:p w14:paraId="578C1948" w14:textId="6AB10C7B" w:rsidR="00BC703F" w:rsidRPr="000617F3" w:rsidRDefault="00E35667" w:rsidP="003F119A">
      <w:pPr>
        <w:spacing w:line="252"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spacing w:val="8"/>
        </w:rPr>
        <w:t>5.11.m. Where a hearing is held upon the instance of the Board after charges have been brought against a licensee pursuant to</w:t>
      </w:r>
      <w:r w:rsidR="00BC703F" w:rsidRPr="000617F3">
        <w:rPr>
          <w:rFonts w:ascii="Calibri" w:eastAsia="Times New Roman" w:hAnsi="Calibri" w:cs="Calibri"/>
          <w:color w:val="000000"/>
        </w:rPr>
        <w:t xml:space="preserve"> subsections 5.4 and 5.5 of this section, the Board has the burden of proof and must present its evidence and/or testimony in support of the charges first.</w:t>
      </w:r>
    </w:p>
    <w:p w14:paraId="34B2BCD1" w14:textId="77777777" w:rsidR="00BC703F" w:rsidRPr="000617F3" w:rsidRDefault="00BC703F" w:rsidP="00BC703F">
      <w:pPr>
        <w:spacing w:before="252"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5.11.n. Where a hearing is held upon demand under the provisions of subsections 5.1, 5.2, 5.3, and 5.6 of this action, the demanding party has the burden of proof and is required to present his or her evidence first.</w:t>
      </w:r>
    </w:p>
    <w:p w14:paraId="480279B6" w14:textId="77777777" w:rsidR="00BC703F" w:rsidRPr="000617F3" w:rsidRDefault="00BC703F" w:rsidP="00BC703F">
      <w:pPr>
        <w:spacing w:before="256"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5.11.o. Following the conclusion of the Board's presentation of evidence in accordance with subdivision 5.11.m. of this rule, the Respondent or charged party has the right to submit his or her evidence in defense.</w:t>
      </w:r>
    </w:p>
    <w:p w14:paraId="22042884" w14:textId="77777777" w:rsidR="00BC703F" w:rsidRPr="000617F3" w:rsidRDefault="00BC703F" w:rsidP="00BC703F">
      <w:pPr>
        <w:spacing w:before="252"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5.11.p. Following the conclusion of the demanding party's presentation of evidence in accordance with subdivision 5.11.n of this rule, the Board has the right to offer its evidence in rebuttal.</w:t>
      </w:r>
    </w:p>
    <w:p w14:paraId="14930AED" w14:textId="77777777" w:rsidR="00BC703F" w:rsidRPr="000617F3" w:rsidRDefault="00BC703F" w:rsidP="00BC703F">
      <w:pPr>
        <w:spacing w:before="251" w:line="253" w:lineRule="exact"/>
        <w:ind w:firstLine="720"/>
        <w:jc w:val="both"/>
        <w:textAlignment w:val="baseline"/>
        <w:rPr>
          <w:rFonts w:ascii="Calibri" w:eastAsia="Times New Roman" w:hAnsi="Calibri" w:cs="Calibri"/>
          <w:color w:val="000000"/>
          <w:spacing w:val="2"/>
        </w:rPr>
      </w:pPr>
      <w:r w:rsidRPr="000617F3">
        <w:rPr>
          <w:rFonts w:ascii="Calibri" w:eastAsia="Times New Roman" w:hAnsi="Calibri" w:cs="Calibri"/>
          <w:color w:val="000000"/>
          <w:spacing w:val="2"/>
        </w:rPr>
        <w:t>5.11.q. The Board may call witnesses to testify in support of its decision to deny licensure, to deny a permit or in support of the charges instituted against a licensee; may present such other evidence to support its position; and, may cross-examine witnesses called by the demanding party or charged party in support of his or her position.</w:t>
      </w:r>
    </w:p>
    <w:p w14:paraId="2E332DCC" w14:textId="6881D12D" w:rsidR="009075DC" w:rsidRDefault="00BC703F" w:rsidP="009075DC">
      <w:pPr>
        <w:spacing w:before="254"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5.11.r. All parties have the right to offer opening and closing arguments, not to exceed ten (10) minutes for each presentation.</w:t>
      </w:r>
    </w:p>
    <w:p w14:paraId="1EFC94DB" w14:textId="7AF17600" w:rsidR="009075DC" w:rsidRPr="000617F3" w:rsidRDefault="009075DC" w:rsidP="009075DC">
      <w:pPr>
        <w:spacing w:before="252"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5.11.s. Hearings held by the Board as a result of charges instituted against a licensee may be continued or adjourned to a later date or different place by the Board or its designee by appropriate notice to all parties.</w:t>
      </w:r>
    </w:p>
    <w:p w14:paraId="0AEA8ADA" w14:textId="463AFFB2" w:rsidR="009075DC" w:rsidRDefault="009075DC" w:rsidP="009075DC">
      <w:pPr>
        <w:spacing w:before="252" w:line="253" w:lineRule="exact"/>
        <w:ind w:firstLine="720"/>
        <w:textAlignment w:val="baseline"/>
        <w:rPr>
          <w:rFonts w:ascii="Calibri" w:eastAsia="Times New Roman" w:hAnsi="Calibri" w:cs="Calibri"/>
          <w:color w:val="000000"/>
        </w:rPr>
      </w:pPr>
      <w:r w:rsidRPr="000617F3">
        <w:rPr>
          <w:rFonts w:ascii="Calibri" w:eastAsia="Times New Roman" w:hAnsi="Calibri" w:cs="Calibri"/>
          <w:color w:val="000000"/>
        </w:rPr>
        <w:t>5.11.t. Motions for a continuance of a hearing may be granted upon a showing of good cause. Motions for continuance must be in writing and received in the office of the Board no later than seven (7) days before the hearing date.</w:t>
      </w:r>
      <w:r w:rsidRPr="009075DC">
        <w:rPr>
          <w:rFonts w:ascii="Calibri" w:eastAsia="Times New Roman" w:hAnsi="Calibri" w:cs="Calibri"/>
          <w:color w:val="000000"/>
        </w:rPr>
        <w:t xml:space="preserve"> </w:t>
      </w:r>
      <w:r w:rsidRPr="000617F3">
        <w:rPr>
          <w:rFonts w:ascii="Calibri" w:eastAsia="Times New Roman" w:hAnsi="Calibri" w:cs="Calibri"/>
          <w:color w:val="000000"/>
        </w:rPr>
        <w:t xml:space="preserve">In determining whether a good cause exists, consideration will be given to the ability of the party requesting the continuance to proceed effectively without a continuance. </w:t>
      </w:r>
      <w:r>
        <w:rPr>
          <w:rFonts w:ascii="Calibri" w:eastAsia="Times New Roman" w:hAnsi="Calibri" w:cs="Calibri"/>
          <w:color w:val="000000"/>
        </w:rPr>
        <w:t xml:space="preserve"> </w:t>
      </w:r>
    </w:p>
    <w:p w14:paraId="7C0548BF" w14:textId="30E7B27C" w:rsidR="009075DC" w:rsidRDefault="009075DC" w:rsidP="009075DC">
      <w:pPr>
        <w:spacing w:before="252" w:line="253" w:lineRule="exact"/>
        <w:textAlignment w:val="baseline"/>
        <w:rPr>
          <w:rFonts w:ascii="Calibri" w:eastAsia="Times New Roman" w:hAnsi="Calibri" w:cs="Calibri"/>
          <w:color w:val="000000"/>
        </w:rPr>
      </w:pPr>
    </w:p>
    <w:p w14:paraId="406F5611" w14:textId="29A4C697" w:rsidR="009075DC" w:rsidRDefault="009075DC" w:rsidP="009075DC">
      <w:pPr>
        <w:spacing w:before="252" w:line="253" w:lineRule="exact"/>
        <w:jc w:val="center"/>
        <w:textAlignment w:val="baseline"/>
        <w:rPr>
          <w:rFonts w:ascii="Calibri" w:eastAsia="Times New Roman" w:hAnsi="Calibri" w:cs="Calibri"/>
          <w:color w:val="000000"/>
        </w:rPr>
      </w:pPr>
      <w:r>
        <w:rPr>
          <w:rFonts w:ascii="Calibri" w:eastAsia="Times New Roman" w:hAnsi="Calibri" w:cs="Calibri"/>
          <w:color w:val="000000"/>
        </w:rPr>
        <w:t>4</w:t>
      </w:r>
    </w:p>
    <w:p w14:paraId="44F96809" w14:textId="2A48A85A" w:rsidR="006F68BA" w:rsidRPr="000617F3" w:rsidRDefault="00BB28F6" w:rsidP="006F68BA">
      <w:pPr>
        <w:spacing w:before="252" w:line="253" w:lineRule="exact"/>
        <w:jc w:val="center"/>
        <w:textAlignment w:val="baseline"/>
        <w:rPr>
          <w:rFonts w:ascii="Calibri" w:eastAsia="Times New Roman" w:hAnsi="Calibri" w:cs="Calibri"/>
          <w:color w:val="000000"/>
        </w:rPr>
      </w:pPr>
      <w:r w:rsidRPr="000617F3">
        <w:rPr>
          <w:rFonts w:ascii="Calibri" w:eastAsia="Times New Roman" w:hAnsi="Calibri" w:cs="Calibri"/>
          <w:color w:val="000000"/>
        </w:rPr>
        <w:lastRenderedPageBreak/>
        <w:t>27CSR6</w:t>
      </w:r>
    </w:p>
    <w:p w14:paraId="03D31247" w14:textId="77777777" w:rsidR="009075DC" w:rsidRDefault="009075DC" w:rsidP="009075DC">
      <w:pPr>
        <w:spacing w:before="1" w:line="253" w:lineRule="exact"/>
        <w:jc w:val="both"/>
        <w:textAlignment w:val="baseline"/>
        <w:rPr>
          <w:rFonts w:ascii="Calibri" w:eastAsia="Times New Roman" w:hAnsi="Calibri" w:cs="Calibri"/>
          <w:color w:val="000000"/>
        </w:rPr>
      </w:pPr>
      <w:bookmarkStart w:id="0" w:name="_Hlk209436418"/>
    </w:p>
    <w:bookmarkEnd w:id="0"/>
    <w:p w14:paraId="4FBC7EEA" w14:textId="5370CE3C" w:rsidR="00BC703F" w:rsidRPr="000617F3" w:rsidRDefault="00BC703F" w:rsidP="009075DC">
      <w:pPr>
        <w:spacing w:before="1" w:line="253" w:lineRule="exact"/>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A motion for a continuance filed less than seven (7) days from the hearing date may be denied unless the reason for the motion could not have been ascertained earlier. Motions for continuance filed prior to the date of </w:t>
      </w:r>
      <w:r w:rsidR="00BB28F6" w:rsidRPr="000617F3">
        <w:rPr>
          <w:rFonts w:ascii="Calibri" w:eastAsia="Times New Roman" w:hAnsi="Calibri" w:cs="Calibri"/>
          <w:color w:val="000000"/>
        </w:rPr>
        <w:t>the hearing</w:t>
      </w:r>
      <w:r w:rsidRPr="000617F3">
        <w:rPr>
          <w:rFonts w:ascii="Calibri" w:eastAsia="Times New Roman" w:hAnsi="Calibri" w:cs="Calibri"/>
          <w:color w:val="000000"/>
        </w:rPr>
        <w:t xml:space="preserve"> will be ruled on by the chair or executive secretary of the Board. All other motions for continuance will be ruled on by the Board member(s) or the member presiding over the hearing.</w:t>
      </w:r>
    </w:p>
    <w:p w14:paraId="3A7AC2FD" w14:textId="59A94B4E" w:rsidR="00BC703F" w:rsidRPr="000617F3" w:rsidRDefault="00BC703F" w:rsidP="00BC703F">
      <w:pPr>
        <w:spacing w:before="252"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5.11.u. All motions </w:t>
      </w:r>
      <w:r w:rsidR="009075DC" w:rsidRPr="000617F3">
        <w:rPr>
          <w:rFonts w:ascii="Calibri" w:eastAsia="Times New Roman" w:hAnsi="Calibri" w:cs="Calibri"/>
          <w:color w:val="000000"/>
        </w:rPr>
        <w:t>relating</w:t>
      </w:r>
      <w:r w:rsidRPr="000617F3">
        <w:rPr>
          <w:rFonts w:ascii="Calibri" w:eastAsia="Times New Roman" w:hAnsi="Calibri" w:cs="Calibri"/>
          <w:color w:val="000000"/>
        </w:rPr>
        <w:t xml:space="preserve"> to a case set for hearing before the Board, except motions for continuance and those made during the hearing, must be in writing and received in the </w:t>
      </w:r>
      <w:r w:rsidR="00BB28F6" w:rsidRPr="000617F3">
        <w:rPr>
          <w:rFonts w:ascii="Calibri" w:eastAsia="Times New Roman" w:hAnsi="Calibri" w:cs="Calibri"/>
          <w:color w:val="000000"/>
        </w:rPr>
        <w:t>Board office</w:t>
      </w:r>
      <w:r w:rsidRPr="000617F3">
        <w:rPr>
          <w:rFonts w:ascii="Calibri" w:eastAsia="Times New Roman" w:hAnsi="Calibri" w:cs="Calibri"/>
          <w:color w:val="000000"/>
        </w:rPr>
        <w:t xml:space="preserve"> at least ten (10) days before the hearing. Pre-hearing motions will be heard at a pre-hearing conference, as cited in subsection 4.1,4.2,4.3. of this rule, or at the hearing prior to the commencement of testimony. The Board member(s) presiding at the hearing will hear the motions and the response from the non-moving party and rule on the motions.</w:t>
      </w:r>
    </w:p>
    <w:p w14:paraId="12974073" w14:textId="77777777" w:rsidR="00BC703F" w:rsidRPr="000617F3" w:rsidRDefault="00BC703F" w:rsidP="00BC703F">
      <w:pPr>
        <w:spacing w:before="249" w:line="255" w:lineRule="exact"/>
        <w:jc w:val="both"/>
        <w:textAlignment w:val="baseline"/>
        <w:rPr>
          <w:rFonts w:ascii="Calibri" w:eastAsia="Times New Roman" w:hAnsi="Calibri" w:cs="Calibri"/>
          <w:b/>
          <w:color w:val="000000"/>
        </w:rPr>
      </w:pPr>
      <w:r w:rsidRPr="000617F3">
        <w:rPr>
          <w:rFonts w:ascii="Calibri" w:eastAsia="Times New Roman" w:hAnsi="Calibri" w:cs="Calibri"/>
          <w:b/>
          <w:color w:val="000000"/>
        </w:rPr>
        <w:t>§27-6-6. Transcription of Testimony and Evidence.</w:t>
      </w:r>
    </w:p>
    <w:p w14:paraId="4F903BC4" w14:textId="77777777" w:rsidR="00BC703F" w:rsidRPr="000617F3" w:rsidRDefault="00BC703F" w:rsidP="00BC703F">
      <w:pPr>
        <w:spacing w:before="250"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6.1. All testimony, evidence, arguments and rulings on the admissibility of testimony and evidence will be reported by stenographic notes and characters or by mechanical means.</w:t>
      </w:r>
    </w:p>
    <w:p w14:paraId="375AB7A7" w14:textId="27F323CC" w:rsidR="00BC703F" w:rsidRPr="000617F3" w:rsidRDefault="00BC703F" w:rsidP="007E7743">
      <w:pPr>
        <w:tabs>
          <w:tab w:val="right" w:pos="4392"/>
        </w:tabs>
        <w:spacing w:before="256" w:line="253" w:lineRule="exact"/>
        <w:ind w:left="360"/>
        <w:jc w:val="both"/>
        <w:textAlignment w:val="baseline"/>
        <w:rPr>
          <w:rFonts w:ascii="Calibri" w:eastAsia="Times New Roman" w:hAnsi="Calibri" w:cs="Calibri"/>
          <w:color w:val="000000"/>
        </w:rPr>
      </w:pPr>
      <w:r w:rsidRPr="000617F3">
        <w:rPr>
          <w:rFonts w:ascii="Calibri" w:eastAsia="Times New Roman" w:hAnsi="Calibri" w:cs="Calibri"/>
          <w:color w:val="000000"/>
        </w:rPr>
        <w:t>6.2.</w:t>
      </w:r>
      <w:r w:rsidR="007E7743" w:rsidRPr="000617F3">
        <w:rPr>
          <w:rFonts w:ascii="Calibri" w:eastAsia="Times New Roman" w:hAnsi="Calibri" w:cs="Calibri"/>
          <w:color w:val="000000"/>
        </w:rPr>
        <w:t xml:space="preserve"> </w:t>
      </w:r>
      <w:r w:rsidRPr="000617F3">
        <w:rPr>
          <w:rFonts w:ascii="Calibri" w:eastAsia="Times New Roman" w:hAnsi="Calibri" w:cs="Calibri"/>
          <w:color w:val="000000"/>
        </w:rPr>
        <w:t>All reported materials will be</w:t>
      </w:r>
      <w:r w:rsidR="007E7743" w:rsidRPr="000617F3">
        <w:rPr>
          <w:rFonts w:ascii="Calibri" w:eastAsia="Times New Roman" w:hAnsi="Calibri" w:cs="Calibri"/>
          <w:color w:val="000000"/>
        </w:rPr>
        <w:t xml:space="preserve"> </w:t>
      </w:r>
      <w:r w:rsidRPr="000617F3">
        <w:rPr>
          <w:rFonts w:ascii="Calibri" w:eastAsia="Times New Roman" w:hAnsi="Calibri" w:cs="Calibri"/>
          <w:color w:val="000000"/>
        </w:rPr>
        <w:t>transcribed. The Board has the responsibility to arrange for the transcription of the reported testimony and evidence.</w:t>
      </w:r>
    </w:p>
    <w:p w14:paraId="4A33E66C" w14:textId="7B5FDF5F" w:rsidR="00BC703F" w:rsidRPr="000617F3" w:rsidRDefault="00BC703F" w:rsidP="007E7743">
      <w:pPr>
        <w:spacing w:before="251"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6.3. Upon the motion of the Board or any party assigning error or omission in any part of any transcript, the Board chair or presiding member will settle all differences arising as to whether the transcript truly discloses what occurred at the hearing and will require the transcript be corrected and/or revised as appropriate so as to make it conform to the truth.</w:t>
      </w:r>
    </w:p>
    <w:p w14:paraId="06739A82" w14:textId="77777777" w:rsidR="007E7743" w:rsidRPr="000617F3" w:rsidRDefault="007E7743" w:rsidP="007E7743">
      <w:pPr>
        <w:spacing w:line="253" w:lineRule="exact"/>
        <w:ind w:firstLine="360"/>
        <w:jc w:val="both"/>
        <w:textAlignment w:val="baseline"/>
        <w:rPr>
          <w:rFonts w:ascii="Calibri" w:eastAsia="Times New Roman" w:hAnsi="Calibri" w:cs="Calibri"/>
          <w:color w:val="000000"/>
        </w:rPr>
      </w:pPr>
    </w:p>
    <w:p w14:paraId="70C4ADFA" w14:textId="77777777" w:rsidR="00BC703F" w:rsidRPr="000617F3" w:rsidRDefault="00BC703F" w:rsidP="007E7743">
      <w:pPr>
        <w:spacing w:before="3" w:line="250" w:lineRule="exact"/>
        <w:ind w:firstLine="360"/>
        <w:jc w:val="both"/>
        <w:textAlignment w:val="baseline"/>
        <w:rPr>
          <w:rFonts w:ascii="Calibri" w:hAnsi="Calibri" w:cs="Calibri"/>
        </w:rPr>
      </w:pPr>
      <w:r w:rsidRPr="000617F3">
        <w:rPr>
          <w:rFonts w:ascii="Calibri" w:eastAsia="Times New Roman" w:hAnsi="Calibri" w:cs="Calibri"/>
          <w:color w:val="000000"/>
        </w:rPr>
        <w:t>6.4. A transcript of the hearing will be provided to all members of the Board for review at least ten (10) days before the vote is taken on its decision in any licensure or permit disciplinary matter.</w:t>
      </w:r>
      <w:r w:rsidRPr="000617F3">
        <w:rPr>
          <w:rFonts w:ascii="Calibri" w:hAnsi="Calibri" w:cs="Calibri"/>
        </w:rPr>
        <w:t xml:space="preserve"> </w:t>
      </w:r>
    </w:p>
    <w:p w14:paraId="4B06A9CB" w14:textId="77777777" w:rsidR="00BC703F" w:rsidRPr="000617F3" w:rsidRDefault="00BC703F" w:rsidP="00BC703F">
      <w:pPr>
        <w:spacing w:before="3" w:line="250" w:lineRule="exact"/>
        <w:jc w:val="both"/>
        <w:textAlignment w:val="baseline"/>
        <w:rPr>
          <w:rFonts w:ascii="Calibri" w:hAnsi="Calibri" w:cs="Calibri"/>
        </w:rPr>
      </w:pPr>
    </w:p>
    <w:p w14:paraId="32C01771" w14:textId="44534EE6" w:rsidR="00BC703F" w:rsidRPr="000617F3" w:rsidRDefault="00BC703F" w:rsidP="00BC703F">
      <w:pPr>
        <w:spacing w:before="3" w:line="250" w:lineRule="exact"/>
        <w:jc w:val="both"/>
        <w:textAlignment w:val="baseline"/>
        <w:rPr>
          <w:rFonts w:ascii="Calibri" w:eastAsia="Times New Roman" w:hAnsi="Calibri" w:cs="Calibri"/>
          <w:b/>
          <w:color w:val="000000"/>
        </w:rPr>
      </w:pPr>
      <w:r w:rsidRPr="000617F3">
        <w:rPr>
          <w:rFonts w:ascii="Calibri" w:hAnsi="Calibri" w:cs="Calibri"/>
          <w:noProof/>
        </w:rPr>
        <mc:AlternateContent>
          <mc:Choice Requires="wps">
            <w:drawing>
              <wp:anchor distT="0" distB="0" distL="2891790" distR="2910205" simplePos="0" relativeHeight="251659264" behindDoc="1" locked="0" layoutInCell="1" allowOverlap="1" wp14:anchorId="2DE8B19B" wp14:editId="5CDB5EF1">
                <wp:simplePos x="0" y="0"/>
                <wp:positionH relativeFrom="page">
                  <wp:posOffset>3803015</wp:posOffset>
                </wp:positionH>
                <wp:positionV relativeFrom="page">
                  <wp:posOffset>9605010</wp:posOffset>
                </wp:positionV>
                <wp:extent cx="163195" cy="160655"/>
                <wp:effectExtent l="2540" t="3810" r="0" b="0"/>
                <wp:wrapSquare wrapText="bothSides"/>
                <wp:docPr id="7142939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9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F2414D" w14:textId="77777777" w:rsidR="00BC703F" w:rsidRDefault="00BC703F" w:rsidP="00BC703F">
                            <w:pPr>
                              <w:spacing w:before="4" w:line="234" w:lineRule="exact"/>
                              <w:jc w:val="center"/>
                              <w:textAlignment w:val="baseline"/>
                              <w:rPr>
                                <w:rFonts w:eastAsia="Times New Roman"/>
                                <w:b/>
                                <w:color w:val="000000"/>
                              </w:rPr>
                            </w:pPr>
                            <w:r>
                              <w:rPr>
                                <w:rFonts w:eastAsia="Times New Roman"/>
                                <w:b/>
                                <w:color w:val="000000"/>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E8B19B" id="_x0000_t202" coordsize="21600,21600" o:spt="202" path="m,l,21600r21600,l21600,xe">
                <v:stroke joinstyle="miter"/>
                <v:path gradientshapeok="t" o:connecttype="rect"/>
              </v:shapetype>
              <v:shape id="Text Box 1" o:spid="_x0000_s1026" type="#_x0000_t202" style="position:absolute;left:0;text-align:left;margin-left:299.45pt;margin-top:756.3pt;width:12.85pt;height:12.65pt;z-index:-251657216;visibility:visible;mso-wrap-style:square;mso-width-percent:0;mso-height-percent:0;mso-wrap-distance-left:227.7pt;mso-wrap-distance-top:0;mso-wrap-distance-right:229.1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" filled="f" stroked="f">
                <v:textbox inset="0,0,0,0">
                  <w:txbxContent>
                    <w:p w14:paraId="52F2414D" w14:textId="77777777" w:rsidR="00BC703F" w:rsidRDefault="00BC703F" w:rsidP="00BC703F">
                      <w:pPr>
                        <w:spacing w:before="4" w:line="234" w:lineRule="exact"/>
                        <w:jc w:val="center"/>
                        <w:textAlignment w:val="baseline"/>
                        <w:rPr>
                          <w:rFonts w:eastAsia="Times New Roman"/>
                          <w:b/>
                          <w:color w:val="000000"/>
                        </w:rPr>
                      </w:pPr>
                      <w:r>
                        <w:rPr>
                          <w:rFonts w:eastAsia="Times New Roman"/>
                          <w:b/>
                          <w:color w:val="000000"/>
                        </w:rPr>
                        <w:t>5</w:t>
                      </w:r>
                    </w:p>
                  </w:txbxContent>
                </v:textbox>
                <w10:wrap type="square" anchorx="page" anchory="page"/>
              </v:shape>
            </w:pict>
          </mc:Fallback>
        </mc:AlternateContent>
      </w:r>
      <w:r w:rsidRPr="000617F3">
        <w:rPr>
          <w:rFonts w:ascii="Calibri" w:eastAsia="Times New Roman" w:hAnsi="Calibri" w:cs="Calibri"/>
          <w:b/>
          <w:color w:val="000000"/>
        </w:rPr>
        <w:t>§27-6-7. Submission of Proposed Findings of Fact and Conclusions of Law.</w:t>
      </w:r>
    </w:p>
    <w:p w14:paraId="0E50162E" w14:textId="77777777" w:rsidR="00BC703F" w:rsidRPr="000617F3" w:rsidRDefault="00BC703F" w:rsidP="00BC703F">
      <w:pPr>
        <w:spacing w:before="253"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7.1. Any party may submit proposed findings of fact and conclusions of law at a time and manner designated by the Board.</w:t>
      </w:r>
    </w:p>
    <w:p w14:paraId="316FAB2B" w14:textId="77777777" w:rsidR="00BC703F" w:rsidRPr="000617F3" w:rsidRDefault="00BC703F" w:rsidP="00BC703F">
      <w:pPr>
        <w:spacing w:before="261" w:line="249" w:lineRule="exact"/>
        <w:textAlignment w:val="baseline"/>
        <w:rPr>
          <w:rFonts w:ascii="Calibri" w:eastAsia="Times New Roman" w:hAnsi="Calibri" w:cs="Calibri"/>
          <w:b/>
          <w:color w:val="000000"/>
        </w:rPr>
      </w:pPr>
      <w:r w:rsidRPr="000617F3">
        <w:rPr>
          <w:rFonts w:ascii="Calibri" w:eastAsia="Times New Roman" w:hAnsi="Calibri" w:cs="Calibri"/>
          <w:b/>
          <w:color w:val="000000"/>
        </w:rPr>
        <w:t>§27-6-8. Depositions.</w:t>
      </w:r>
    </w:p>
    <w:p w14:paraId="24065CE6" w14:textId="77777777" w:rsidR="00BC703F" w:rsidRPr="000617F3" w:rsidRDefault="00BC703F" w:rsidP="00BC703F">
      <w:pPr>
        <w:spacing w:before="249" w:line="253"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8.1. Evidentiary depositions may be taken and read or otherwise included into evidence as in civil actions in the circuit courts of this state.</w:t>
      </w:r>
    </w:p>
    <w:p w14:paraId="2326B9F3" w14:textId="77777777" w:rsidR="00BC703F" w:rsidRPr="000617F3" w:rsidRDefault="00BC703F" w:rsidP="00BC703F">
      <w:pPr>
        <w:spacing w:before="261" w:line="249" w:lineRule="exact"/>
        <w:textAlignment w:val="baseline"/>
        <w:rPr>
          <w:rFonts w:ascii="Calibri" w:eastAsia="Times New Roman" w:hAnsi="Calibri" w:cs="Calibri"/>
          <w:b/>
          <w:color w:val="000000"/>
        </w:rPr>
      </w:pPr>
      <w:r w:rsidRPr="000617F3">
        <w:rPr>
          <w:rFonts w:ascii="Calibri" w:eastAsia="Times New Roman" w:hAnsi="Calibri" w:cs="Calibri"/>
          <w:b/>
          <w:color w:val="000000"/>
        </w:rPr>
        <w:t>§27-6-9. Subpoenas.</w:t>
      </w:r>
    </w:p>
    <w:p w14:paraId="1FB86351" w14:textId="50D2F9D1" w:rsidR="00BC703F" w:rsidRPr="000617F3" w:rsidRDefault="00BC703F" w:rsidP="00BC703F">
      <w:pPr>
        <w:spacing w:before="249"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9.1. Subpoenas to compel the attendance of witnesses and subpoenas duces tecum to compel the production of documents may be issued by any member of the Board</w:t>
      </w:r>
      <w:r w:rsidR="00BB28F6" w:rsidRPr="000617F3">
        <w:rPr>
          <w:rFonts w:ascii="Calibri" w:eastAsia="Times New Roman" w:hAnsi="Calibri" w:cs="Calibri"/>
          <w:color w:val="000000"/>
        </w:rPr>
        <w:t xml:space="preserve"> </w:t>
      </w:r>
      <w:r w:rsidR="00BB28F6" w:rsidRPr="009075DC">
        <w:rPr>
          <w:rFonts w:ascii="Calibri" w:eastAsia="Times New Roman" w:hAnsi="Calibri" w:cs="Calibri"/>
          <w:color w:val="000000"/>
        </w:rPr>
        <w:t>or th</w:t>
      </w:r>
      <w:r w:rsidR="00BB28F6" w:rsidRPr="009075DC">
        <w:rPr>
          <w:rFonts w:ascii="Calibri" w:eastAsia="Times New Roman" w:hAnsi="Calibri" w:cs="Calibri"/>
          <w:strike/>
          <w:color w:val="000000"/>
        </w:rPr>
        <w:t>e</w:t>
      </w:r>
      <w:r w:rsidRPr="000617F3">
        <w:rPr>
          <w:rFonts w:ascii="Calibri" w:eastAsia="Times New Roman" w:hAnsi="Calibri" w:cs="Calibri"/>
          <w:color w:val="000000"/>
        </w:rPr>
        <w:t xml:space="preserve"> Executive </w:t>
      </w:r>
      <w:r w:rsidR="00BB28F6" w:rsidRPr="009075DC">
        <w:rPr>
          <w:rFonts w:ascii="Calibri" w:eastAsia="Times New Roman" w:hAnsi="Calibri" w:cs="Calibri"/>
          <w:color w:val="000000"/>
        </w:rPr>
        <w:t>Director</w:t>
      </w:r>
      <w:r w:rsidR="009075DC">
        <w:rPr>
          <w:rFonts w:ascii="Calibri" w:eastAsia="Times New Roman" w:hAnsi="Calibri" w:cs="Calibri"/>
          <w:color w:val="000000"/>
        </w:rPr>
        <w:t>.</w:t>
      </w:r>
      <w:r w:rsidRPr="000617F3">
        <w:rPr>
          <w:rFonts w:ascii="Calibri" w:eastAsia="Times New Roman" w:hAnsi="Calibri" w:cs="Calibri"/>
          <w:color w:val="000000"/>
        </w:rPr>
        <w:t xml:space="preserve"> Such subpoenas shall be issued pursuant to W. Va. Code §29A-5-1(b).</w:t>
      </w:r>
    </w:p>
    <w:p w14:paraId="304310FE" w14:textId="452F33C8" w:rsidR="007E7743" w:rsidRPr="000617F3" w:rsidRDefault="00BC703F" w:rsidP="009075DC">
      <w:pPr>
        <w:spacing w:before="251" w:line="253" w:lineRule="exact"/>
        <w:ind w:firstLine="36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9.2. Written requests by a party for the issuance of subpoenas or subpoenas duces tecum as provided </w:t>
      </w:r>
      <w:r w:rsidR="000617F3">
        <w:rPr>
          <w:rFonts w:ascii="Calibri" w:eastAsia="Times New Roman" w:hAnsi="Calibri" w:cs="Calibri"/>
          <w:color w:val="000000"/>
        </w:rPr>
        <w:t xml:space="preserve">in </w:t>
      </w:r>
      <w:r w:rsidR="00C24F4F" w:rsidRPr="000617F3">
        <w:rPr>
          <w:rFonts w:ascii="Calibri" w:eastAsia="Times New Roman" w:hAnsi="Calibri" w:cs="Calibri"/>
          <w:color w:val="000000"/>
        </w:rPr>
        <w:t xml:space="preserve">subsection 9.1 of this section must be received by the Board no later than ten (10) days before a scheduled </w:t>
      </w:r>
      <w:r w:rsidRPr="000617F3">
        <w:rPr>
          <w:rFonts w:ascii="Calibri" w:eastAsia="Times New Roman" w:hAnsi="Calibri" w:cs="Calibri"/>
          <w:color w:val="000000"/>
        </w:rPr>
        <w:t>hearing. Any party requesting the issuance of subpoenas duces tecum must have them properly served in accordance with W. Va. Code §29A-5-1(b).</w:t>
      </w:r>
    </w:p>
    <w:p w14:paraId="086E6D40" w14:textId="1E1BEC40" w:rsidR="00BC703F" w:rsidRPr="000617F3" w:rsidRDefault="00BC703F" w:rsidP="00BC703F">
      <w:pPr>
        <w:spacing w:before="261" w:line="249" w:lineRule="exact"/>
        <w:textAlignment w:val="baseline"/>
        <w:rPr>
          <w:rFonts w:ascii="Calibri" w:eastAsia="Times New Roman" w:hAnsi="Calibri" w:cs="Calibri"/>
          <w:b/>
          <w:color w:val="000000"/>
        </w:rPr>
      </w:pPr>
      <w:r w:rsidRPr="000617F3">
        <w:rPr>
          <w:rFonts w:ascii="Calibri" w:eastAsia="Times New Roman" w:hAnsi="Calibri" w:cs="Calibri"/>
          <w:b/>
          <w:color w:val="000000"/>
        </w:rPr>
        <w:t>§27-6-10. Orders.</w:t>
      </w:r>
    </w:p>
    <w:p w14:paraId="0B53FD0A" w14:textId="2A57CECF" w:rsidR="009075DC" w:rsidRDefault="00BC703F" w:rsidP="00BC703F">
      <w:pPr>
        <w:spacing w:before="253" w:line="253" w:lineRule="exact"/>
        <w:ind w:firstLine="360"/>
        <w:jc w:val="both"/>
        <w:textAlignment w:val="baseline"/>
        <w:rPr>
          <w:rFonts w:ascii="Calibri" w:eastAsia="Times New Roman" w:hAnsi="Calibri" w:cs="Calibri"/>
          <w:color w:val="000000"/>
          <w:spacing w:val="1"/>
        </w:rPr>
      </w:pPr>
      <w:r w:rsidRPr="000617F3">
        <w:rPr>
          <w:rFonts w:ascii="Calibri" w:eastAsia="Times New Roman" w:hAnsi="Calibri" w:cs="Calibri"/>
          <w:color w:val="000000"/>
          <w:spacing w:val="1"/>
        </w:rPr>
        <w:t xml:space="preserve">10.1. Any final order entered by the Board following a hearing conducted pursuant to this rule must be made pursuant to the provisions of W. Va. Code §§29A-5-3 and 30-1-8(d). </w:t>
      </w:r>
    </w:p>
    <w:p w14:paraId="3366BCC7" w14:textId="1E0A9365" w:rsidR="009075DC" w:rsidRPr="009075DC" w:rsidRDefault="009075DC" w:rsidP="009075DC">
      <w:pPr>
        <w:spacing w:before="251" w:line="253" w:lineRule="exact"/>
        <w:jc w:val="center"/>
        <w:textAlignment w:val="baseline"/>
        <w:rPr>
          <w:rFonts w:ascii="Calibri" w:eastAsia="Times New Roman" w:hAnsi="Calibri" w:cs="Calibri"/>
          <w:color w:val="000000"/>
        </w:rPr>
      </w:pPr>
      <w:r w:rsidRPr="000617F3">
        <w:rPr>
          <w:rFonts w:ascii="Calibri" w:eastAsia="Times New Roman" w:hAnsi="Calibri" w:cs="Calibri"/>
          <w:color w:val="000000"/>
        </w:rPr>
        <w:lastRenderedPageBreak/>
        <w:t>27CSR6</w:t>
      </w:r>
    </w:p>
    <w:p w14:paraId="0F61DE56" w14:textId="509B14A9" w:rsidR="00BC703F" w:rsidRPr="000617F3" w:rsidRDefault="009075DC" w:rsidP="009075DC">
      <w:pPr>
        <w:spacing w:before="253" w:line="253" w:lineRule="exact"/>
        <w:jc w:val="both"/>
        <w:textAlignment w:val="baseline"/>
        <w:rPr>
          <w:rFonts w:ascii="Calibri" w:eastAsia="Times New Roman" w:hAnsi="Calibri" w:cs="Calibri"/>
          <w:color w:val="000000"/>
          <w:spacing w:val="1"/>
        </w:rPr>
      </w:pPr>
      <w:r w:rsidRPr="000617F3">
        <w:rPr>
          <w:rFonts w:ascii="Calibri" w:eastAsia="Times New Roman" w:hAnsi="Calibri" w:cs="Calibri"/>
          <w:color w:val="000000"/>
          <w:spacing w:val="1"/>
        </w:rPr>
        <w:t xml:space="preserve">All final orders must be entered within forty-five (45) days following the submission of all documents and materials necessary </w:t>
      </w:r>
      <w:r w:rsidR="00BC703F" w:rsidRPr="000617F3">
        <w:rPr>
          <w:rFonts w:ascii="Calibri" w:eastAsia="Times New Roman" w:hAnsi="Calibri" w:cs="Calibri"/>
          <w:color w:val="000000"/>
          <w:spacing w:val="1"/>
        </w:rPr>
        <w:t>for the proper disposition of the case, including transcripts, and shall contain findings of fact and conclusions of law.</w:t>
      </w:r>
    </w:p>
    <w:p w14:paraId="22E76090" w14:textId="77777777" w:rsidR="00F34C5F" w:rsidRPr="000617F3" w:rsidRDefault="00F34C5F" w:rsidP="00BC703F">
      <w:pPr>
        <w:spacing w:line="252" w:lineRule="exact"/>
        <w:jc w:val="both"/>
        <w:textAlignment w:val="baseline"/>
        <w:rPr>
          <w:rFonts w:ascii="Calibri" w:eastAsia="Times New Roman" w:hAnsi="Calibri" w:cs="Calibri"/>
          <w:color w:val="000000"/>
          <w:spacing w:val="5"/>
        </w:rPr>
      </w:pPr>
    </w:p>
    <w:p w14:paraId="509F70F9" w14:textId="217041CA" w:rsidR="00BC703F" w:rsidRPr="000617F3" w:rsidRDefault="00BC703F" w:rsidP="00F34C5F">
      <w:pPr>
        <w:spacing w:line="252" w:lineRule="exact"/>
        <w:ind w:firstLine="360"/>
        <w:jc w:val="both"/>
        <w:textAlignment w:val="baseline"/>
        <w:rPr>
          <w:rFonts w:ascii="Calibri" w:eastAsia="Times New Roman" w:hAnsi="Calibri" w:cs="Calibri"/>
          <w:color w:val="000000"/>
          <w:spacing w:val="5"/>
        </w:rPr>
      </w:pPr>
      <w:r w:rsidRPr="000617F3">
        <w:rPr>
          <w:rFonts w:ascii="Calibri" w:eastAsia="Times New Roman" w:hAnsi="Calibri" w:cs="Calibri"/>
          <w:color w:val="000000"/>
          <w:spacing w:val="5"/>
        </w:rPr>
        <w:t xml:space="preserve">10.2. The findings of fact and conclusions of law must be approved by a majority of the Board either by a poll or vote at a regular </w:t>
      </w:r>
      <w:r w:rsidRPr="000617F3">
        <w:rPr>
          <w:rFonts w:ascii="Calibri" w:eastAsia="Times New Roman" w:hAnsi="Calibri" w:cs="Calibri"/>
          <w:color w:val="000000"/>
        </w:rPr>
        <w:t>meeting, before a final order is entered. A copy of the final order approved by a majority of the Board must be served upon the demanding or charged party and/or his or her attorney of record, if any, within ten (10) days after entry by the Board by personal service or by registered or certified mail.</w:t>
      </w:r>
    </w:p>
    <w:p w14:paraId="0FBDD042" w14:textId="77777777" w:rsidR="00BC703F" w:rsidRPr="000617F3" w:rsidRDefault="00BC703F" w:rsidP="00BC703F">
      <w:pPr>
        <w:spacing w:before="256" w:line="249" w:lineRule="exact"/>
        <w:textAlignment w:val="baseline"/>
        <w:rPr>
          <w:rFonts w:ascii="Calibri" w:eastAsia="Times New Roman" w:hAnsi="Calibri" w:cs="Calibri"/>
          <w:b/>
          <w:color w:val="000000"/>
        </w:rPr>
      </w:pPr>
      <w:r w:rsidRPr="000617F3">
        <w:rPr>
          <w:rFonts w:ascii="Calibri" w:eastAsia="Times New Roman" w:hAnsi="Calibri" w:cs="Calibri"/>
          <w:b/>
          <w:color w:val="000000"/>
        </w:rPr>
        <w:t>§27-6-11. Appeal.</w:t>
      </w:r>
    </w:p>
    <w:p w14:paraId="389B318E" w14:textId="338D1E1B" w:rsidR="00BC703F" w:rsidRPr="000617F3" w:rsidRDefault="00C24F4F" w:rsidP="00BC703F">
      <w:pPr>
        <w:spacing w:before="249" w:line="248" w:lineRule="exact"/>
        <w:ind w:firstLine="360"/>
        <w:jc w:val="both"/>
        <w:textAlignment w:val="baseline"/>
        <w:rPr>
          <w:rFonts w:ascii="Calibri" w:eastAsia="Times New Roman" w:hAnsi="Calibri" w:cs="Calibri"/>
          <w:color w:val="000000"/>
          <w:spacing w:val="5"/>
        </w:rPr>
      </w:pPr>
      <w:r w:rsidRPr="000617F3">
        <w:rPr>
          <w:rFonts w:ascii="Calibri" w:eastAsia="Times New Roman" w:hAnsi="Calibri" w:cs="Calibri"/>
          <w:color w:val="000000"/>
          <w:spacing w:val="5"/>
        </w:rPr>
        <w:t>11.1.</w:t>
      </w:r>
      <w:r w:rsidRPr="000617F3">
        <w:rPr>
          <w:rFonts w:ascii="Calibri" w:hAnsi="Calibri" w:cs="Calibri"/>
          <w:color w:val="222222"/>
          <w:shd w:val="clear" w:color="auto" w:fill="FFFFFF"/>
        </w:rPr>
        <w:t xml:space="preserve"> An appeal from any final order entered in accordance with these rules must comply with the provisions of W. Va. Code §§ 30-1-9 and 29A-5-1 et seq.</w:t>
      </w:r>
    </w:p>
    <w:p w14:paraId="0B9A8864" w14:textId="34C8E3C9" w:rsidR="00BC703F" w:rsidRPr="000617F3" w:rsidRDefault="00BC703F" w:rsidP="00BC703F">
      <w:pPr>
        <w:spacing w:before="252" w:line="252" w:lineRule="exact"/>
        <w:ind w:firstLine="360"/>
        <w:jc w:val="both"/>
        <w:textAlignment w:val="baseline"/>
        <w:rPr>
          <w:rFonts w:ascii="Calibri" w:eastAsia="Times New Roman" w:hAnsi="Calibri" w:cs="Calibri"/>
          <w:color w:val="000000"/>
        </w:rPr>
      </w:pPr>
    </w:p>
    <w:p w14:paraId="5D339106" w14:textId="426F158E" w:rsidR="00BC703F" w:rsidRPr="000617F3" w:rsidRDefault="00BC703F" w:rsidP="00BC703F">
      <w:pPr>
        <w:spacing w:before="253" w:line="251" w:lineRule="exact"/>
        <w:ind w:firstLine="720"/>
        <w:jc w:val="both"/>
        <w:textAlignment w:val="baseline"/>
        <w:rPr>
          <w:rFonts w:ascii="Calibri" w:eastAsia="Times New Roman" w:hAnsi="Calibri" w:cs="Calibri"/>
          <w:color w:val="000000"/>
        </w:rPr>
      </w:pPr>
    </w:p>
    <w:p w14:paraId="6AEE84BE" w14:textId="2EC76223" w:rsidR="00600DE0" w:rsidRPr="000617F3" w:rsidRDefault="00600DE0" w:rsidP="00BC703F">
      <w:pPr>
        <w:spacing w:before="254" w:line="248" w:lineRule="exact"/>
        <w:ind w:firstLine="720"/>
        <w:jc w:val="both"/>
        <w:textAlignment w:val="baseline"/>
        <w:rPr>
          <w:rFonts w:ascii="Calibri" w:hAnsi="Calibri" w:cs="Calibri"/>
        </w:rPr>
        <w:sectPr w:rsidR="00600DE0" w:rsidRPr="000617F3" w:rsidSect="00E35667">
          <w:type w:val="continuous"/>
          <w:pgSz w:w="12240" w:h="15840"/>
          <w:pgMar w:top="720" w:right="1430" w:bottom="200" w:left="1435" w:header="720" w:footer="720" w:gutter="0"/>
          <w:cols w:space="0"/>
        </w:sectPr>
      </w:pPr>
    </w:p>
    <w:p w14:paraId="20033838" w14:textId="444AC59E" w:rsidR="00600DE0" w:rsidRPr="000617F3" w:rsidRDefault="00600DE0" w:rsidP="00E35667">
      <w:pPr>
        <w:spacing w:line="252" w:lineRule="exact"/>
        <w:textAlignment w:val="baseline"/>
        <w:rPr>
          <w:rFonts w:ascii="Calibri" w:eastAsia="Times New Roman" w:hAnsi="Calibri" w:cs="Calibri"/>
          <w:color w:val="000000"/>
          <w:spacing w:val="12"/>
        </w:rPr>
      </w:pPr>
    </w:p>
    <w:p w14:paraId="369073DE" w14:textId="77777777" w:rsidR="00600DE0" w:rsidRPr="000617F3" w:rsidRDefault="00600DE0">
      <w:pPr>
        <w:rPr>
          <w:rFonts w:ascii="Calibri" w:hAnsi="Calibri" w:cs="Calibri"/>
        </w:rPr>
        <w:sectPr w:rsidR="00600DE0" w:rsidRPr="000617F3" w:rsidSect="00E35667">
          <w:type w:val="continuous"/>
          <w:pgSz w:w="12240" w:h="15840"/>
          <w:pgMar w:top="720" w:right="1411" w:bottom="200" w:left="1435" w:header="720" w:footer="720" w:gutter="0"/>
          <w:cols w:space="0"/>
        </w:sectPr>
      </w:pPr>
    </w:p>
    <w:p w14:paraId="1A52B8DB" w14:textId="13D743A5" w:rsidR="00600DE0" w:rsidRPr="000617F3" w:rsidRDefault="00600DE0" w:rsidP="00BC703F">
      <w:pPr>
        <w:spacing w:before="291" w:line="249" w:lineRule="exact"/>
        <w:jc w:val="center"/>
        <w:textAlignment w:val="baseline"/>
        <w:rPr>
          <w:rFonts w:ascii="Calibri" w:eastAsia="Times New Roman" w:hAnsi="Calibri" w:cs="Calibri"/>
          <w:b/>
          <w:color w:val="000000"/>
        </w:rPr>
        <w:sectPr w:rsidR="00600DE0" w:rsidRPr="000617F3" w:rsidSect="00E35667">
          <w:type w:val="continuous"/>
          <w:pgSz w:w="12240" w:h="15840"/>
          <w:pgMar w:top="720" w:right="1435" w:bottom="200" w:left="1430" w:header="720" w:footer="720" w:gutter="0"/>
          <w:cols w:space="720"/>
        </w:sectPr>
      </w:pPr>
    </w:p>
    <w:p w14:paraId="314ACA40" w14:textId="050471F7" w:rsidR="00600DE0" w:rsidRPr="000617F3" w:rsidRDefault="00000000">
      <w:pPr>
        <w:spacing w:before="252" w:line="250" w:lineRule="exact"/>
        <w:ind w:firstLine="720"/>
        <w:jc w:val="both"/>
        <w:textAlignment w:val="baseline"/>
        <w:rPr>
          <w:rFonts w:ascii="Calibri" w:eastAsia="Times New Roman" w:hAnsi="Calibri" w:cs="Calibri"/>
          <w:color w:val="000000"/>
        </w:rPr>
      </w:pPr>
      <w:r w:rsidRPr="000617F3">
        <w:rPr>
          <w:rFonts w:ascii="Calibri" w:eastAsia="Times New Roman" w:hAnsi="Calibri" w:cs="Calibri"/>
          <w:color w:val="000000"/>
        </w:rPr>
        <w:t xml:space="preserve"> </w:t>
      </w:r>
    </w:p>
    <w:p w14:paraId="77CE2C04" w14:textId="15F5DBE9" w:rsidR="00600DE0" w:rsidRPr="000617F3" w:rsidRDefault="00600DE0" w:rsidP="00BC703F">
      <w:pPr>
        <w:spacing w:line="252" w:lineRule="exact"/>
        <w:jc w:val="both"/>
        <w:textAlignment w:val="baseline"/>
        <w:rPr>
          <w:rFonts w:ascii="Calibri" w:eastAsia="Times New Roman" w:hAnsi="Calibri" w:cs="Calibri"/>
          <w:color w:val="000000"/>
        </w:rPr>
      </w:pPr>
    </w:p>
    <w:p w14:paraId="7AF85A7F"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41720EFA"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7DC2CC78"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4E6B3F3E"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7BED6FB0"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381F3359"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7C728970"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5C8C97F5"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76972D33"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4A56C9DC"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30D65792"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1D74AFD8"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04C6887B"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6185B83C"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43974918"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18E34F93"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6D73088B"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4D48D19F"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4B3E795B"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5BBDE00E" w14:textId="77777777" w:rsidR="007E7743" w:rsidRDefault="007E7743" w:rsidP="00BC703F">
      <w:pPr>
        <w:spacing w:line="252" w:lineRule="exact"/>
        <w:jc w:val="both"/>
        <w:textAlignment w:val="baseline"/>
        <w:rPr>
          <w:rFonts w:ascii="Calibri" w:eastAsia="Times New Roman" w:hAnsi="Calibri" w:cs="Calibri"/>
          <w:color w:val="000000"/>
        </w:rPr>
      </w:pPr>
    </w:p>
    <w:p w14:paraId="57622E5F" w14:textId="77777777" w:rsidR="009075DC" w:rsidRDefault="009075DC" w:rsidP="00BC703F">
      <w:pPr>
        <w:spacing w:line="252" w:lineRule="exact"/>
        <w:jc w:val="both"/>
        <w:textAlignment w:val="baseline"/>
        <w:rPr>
          <w:rFonts w:ascii="Calibri" w:eastAsia="Times New Roman" w:hAnsi="Calibri" w:cs="Calibri"/>
          <w:color w:val="000000"/>
        </w:rPr>
      </w:pPr>
    </w:p>
    <w:p w14:paraId="64DC77DF" w14:textId="77777777" w:rsidR="009075DC" w:rsidRDefault="009075DC" w:rsidP="00BC703F">
      <w:pPr>
        <w:spacing w:line="252" w:lineRule="exact"/>
        <w:jc w:val="both"/>
        <w:textAlignment w:val="baseline"/>
        <w:rPr>
          <w:rFonts w:ascii="Calibri" w:eastAsia="Times New Roman" w:hAnsi="Calibri" w:cs="Calibri"/>
          <w:color w:val="000000"/>
        </w:rPr>
      </w:pPr>
    </w:p>
    <w:p w14:paraId="1AA6363A" w14:textId="77777777" w:rsidR="009075DC" w:rsidRDefault="009075DC" w:rsidP="00BC703F">
      <w:pPr>
        <w:spacing w:line="252" w:lineRule="exact"/>
        <w:jc w:val="both"/>
        <w:textAlignment w:val="baseline"/>
        <w:rPr>
          <w:rFonts w:ascii="Calibri" w:eastAsia="Times New Roman" w:hAnsi="Calibri" w:cs="Calibri"/>
          <w:color w:val="000000"/>
        </w:rPr>
      </w:pPr>
    </w:p>
    <w:p w14:paraId="0D67EC27" w14:textId="77777777" w:rsidR="009075DC" w:rsidRDefault="009075DC" w:rsidP="00BC703F">
      <w:pPr>
        <w:spacing w:line="252" w:lineRule="exact"/>
        <w:jc w:val="both"/>
        <w:textAlignment w:val="baseline"/>
        <w:rPr>
          <w:rFonts w:ascii="Calibri" w:eastAsia="Times New Roman" w:hAnsi="Calibri" w:cs="Calibri"/>
          <w:color w:val="000000"/>
        </w:rPr>
      </w:pPr>
    </w:p>
    <w:p w14:paraId="05CB5172" w14:textId="77777777" w:rsidR="009075DC" w:rsidRDefault="009075DC" w:rsidP="00BC703F">
      <w:pPr>
        <w:spacing w:line="252" w:lineRule="exact"/>
        <w:jc w:val="both"/>
        <w:textAlignment w:val="baseline"/>
        <w:rPr>
          <w:rFonts w:ascii="Calibri" w:eastAsia="Times New Roman" w:hAnsi="Calibri" w:cs="Calibri"/>
          <w:color w:val="000000"/>
        </w:rPr>
      </w:pPr>
    </w:p>
    <w:p w14:paraId="755A11EE" w14:textId="77777777" w:rsidR="009075DC" w:rsidRDefault="009075DC" w:rsidP="00BC703F">
      <w:pPr>
        <w:spacing w:line="252" w:lineRule="exact"/>
        <w:jc w:val="both"/>
        <w:textAlignment w:val="baseline"/>
        <w:rPr>
          <w:rFonts w:ascii="Calibri" w:eastAsia="Times New Roman" w:hAnsi="Calibri" w:cs="Calibri"/>
          <w:color w:val="000000"/>
        </w:rPr>
      </w:pPr>
    </w:p>
    <w:p w14:paraId="061AE918" w14:textId="77777777" w:rsidR="009075DC" w:rsidRDefault="009075DC" w:rsidP="00BC703F">
      <w:pPr>
        <w:spacing w:line="252" w:lineRule="exact"/>
        <w:jc w:val="both"/>
        <w:textAlignment w:val="baseline"/>
        <w:rPr>
          <w:rFonts w:ascii="Calibri" w:eastAsia="Times New Roman" w:hAnsi="Calibri" w:cs="Calibri"/>
          <w:color w:val="000000"/>
        </w:rPr>
      </w:pPr>
    </w:p>
    <w:p w14:paraId="5D4267C1" w14:textId="77777777" w:rsidR="009075DC" w:rsidRDefault="009075DC" w:rsidP="00BC703F">
      <w:pPr>
        <w:spacing w:line="252" w:lineRule="exact"/>
        <w:jc w:val="both"/>
        <w:textAlignment w:val="baseline"/>
        <w:rPr>
          <w:rFonts w:ascii="Calibri" w:eastAsia="Times New Roman" w:hAnsi="Calibri" w:cs="Calibri"/>
          <w:color w:val="000000"/>
        </w:rPr>
      </w:pPr>
    </w:p>
    <w:p w14:paraId="478A12A1" w14:textId="77777777" w:rsidR="009075DC" w:rsidRDefault="009075DC" w:rsidP="00BC703F">
      <w:pPr>
        <w:spacing w:line="252" w:lineRule="exact"/>
        <w:jc w:val="both"/>
        <w:textAlignment w:val="baseline"/>
        <w:rPr>
          <w:rFonts w:ascii="Calibri" w:eastAsia="Times New Roman" w:hAnsi="Calibri" w:cs="Calibri"/>
          <w:color w:val="000000"/>
        </w:rPr>
      </w:pPr>
    </w:p>
    <w:p w14:paraId="0C497EFA" w14:textId="77777777" w:rsidR="009075DC" w:rsidRPr="000617F3" w:rsidRDefault="009075DC" w:rsidP="00BC703F">
      <w:pPr>
        <w:spacing w:line="252" w:lineRule="exact"/>
        <w:jc w:val="both"/>
        <w:textAlignment w:val="baseline"/>
        <w:rPr>
          <w:rFonts w:ascii="Calibri" w:eastAsia="Times New Roman" w:hAnsi="Calibri" w:cs="Calibri"/>
          <w:color w:val="000000"/>
        </w:rPr>
      </w:pPr>
    </w:p>
    <w:p w14:paraId="7EDF55AE" w14:textId="7FE80FB9" w:rsidR="007E7743" w:rsidRPr="000617F3" w:rsidRDefault="006F68BA" w:rsidP="00C24F4F">
      <w:pPr>
        <w:spacing w:line="252" w:lineRule="exact"/>
        <w:jc w:val="center"/>
        <w:textAlignment w:val="baseline"/>
        <w:rPr>
          <w:rFonts w:ascii="Calibri" w:eastAsia="Times New Roman" w:hAnsi="Calibri" w:cs="Calibri"/>
          <w:color w:val="000000"/>
        </w:rPr>
      </w:pPr>
      <w:r w:rsidRPr="000617F3">
        <w:rPr>
          <w:rFonts w:ascii="Calibri" w:eastAsia="Times New Roman" w:hAnsi="Calibri" w:cs="Calibri"/>
          <w:color w:val="000000"/>
        </w:rPr>
        <w:t>6</w:t>
      </w:r>
    </w:p>
    <w:p w14:paraId="2CFC721F" w14:textId="77777777" w:rsidR="007E7743" w:rsidRPr="000617F3" w:rsidRDefault="007E7743" w:rsidP="00BC703F">
      <w:pPr>
        <w:spacing w:line="252" w:lineRule="exact"/>
        <w:jc w:val="both"/>
        <w:textAlignment w:val="baseline"/>
        <w:rPr>
          <w:rFonts w:ascii="Calibri" w:eastAsia="Times New Roman" w:hAnsi="Calibri" w:cs="Calibri"/>
          <w:color w:val="000000"/>
        </w:rPr>
      </w:pPr>
    </w:p>
    <w:p w14:paraId="7370E7D6" w14:textId="6A778629" w:rsidR="007E7743" w:rsidRPr="000617F3" w:rsidRDefault="007E7743" w:rsidP="008C60EB">
      <w:pPr>
        <w:spacing w:line="252" w:lineRule="exact"/>
        <w:textAlignment w:val="baseline"/>
        <w:rPr>
          <w:rFonts w:ascii="Calibri" w:eastAsia="Times New Roman" w:hAnsi="Calibri" w:cs="Calibri"/>
          <w:color w:val="000000"/>
        </w:rPr>
      </w:pPr>
    </w:p>
    <w:sectPr w:rsidR="007E7743" w:rsidRPr="000617F3" w:rsidSect="00E35667">
      <w:type w:val="continuous"/>
      <w:pgSz w:w="12240" w:h="15840"/>
      <w:pgMar w:top="720" w:right="1411" w:bottom="857" w:left="1435" w:header="720" w:footer="72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71146" w14:textId="77777777" w:rsidR="004870DC" w:rsidRDefault="004870DC">
      <w:r>
        <w:separator/>
      </w:r>
    </w:p>
  </w:endnote>
  <w:endnote w:type="continuationSeparator" w:id="0">
    <w:p w14:paraId="2410094A" w14:textId="77777777" w:rsidR="004870DC" w:rsidRDefault="00487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Times New Roman">
    <w:charset w:val="00"/>
    <w:pitch w:val="variable"/>
    <w:family w:val="roman"/>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2570A" w14:textId="77777777" w:rsidR="004870DC" w:rsidRDefault="004870DC"/>
  </w:footnote>
  <w:footnote w:type="continuationSeparator" w:id="0">
    <w:p w14:paraId="6B66DC36" w14:textId="77777777" w:rsidR="004870DC" w:rsidRDefault="004870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DE0"/>
    <w:rsid w:val="000617F3"/>
    <w:rsid w:val="00151D1B"/>
    <w:rsid w:val="0015316C"/>
    <w:rsid w:val="002574CA"/>
    <w:rsid w:val="003F119A"/>
    <w:rsid w:val="004870DC"/>
    <w:rsid w:val="004B6C79"/>
    <w:rsid w:val="0054196E"/>
    <w:rsid w:val="005809A3"/>
    <w:rsid w:val="00600DE0"/>
    <w:rsid w:val="00604C52"/>
    <w:rsid w:val="006F5CE0"/>
    <w:rsid w:val="006F68BA"/>
    <w:rsid w:val="007E7743"/>
    <w:rsid w:val="008059F4"/>
    <w:rsid w:val="008C60EB"/>
    <w:rsid w:val="009075DC"/>
    <w:rsid w:val="00924E95"/>
    <w:rsid w:val="00A30FDC"/>
    <w:rsid w:val="00A57A3D"/>
    <w:rsid w:val="00B01ED1"/>
    <w:rsid w:val="00BB28F6"/>
    <w:rsid w:val="00BC0BD0"/>
    <w:rsid w:val="00BC703F"/>
    <w:rsid w:val="00C24F4F"/>
    <w:rsid w:val="00D760C7"/>
    <w:rsid w:val="00E21A81"/>
    <w:rsid w:val="00E35667"/>
    <w:rsid w:val="00F34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381F"/>
  <w15:docId w15:val="{7E4C0F54-00F0-4332-86D9-FA626FB28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5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AE9DC-611E-46A6-AB10-0F90F4167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2289</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TITLE 27</vt:lpstr>
    </vt:vector>
  </TitlesOfParts>
  <Company/>
  <LinksUpToDate>false</LinksUpToDate>
  <CharactersWithSpaces>15307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27</dc:title>
  <dc:creator>Jean Ann Johnson</dc:creator>
  <cp:lastModifiedBy>Henry, Cheryl J</cp:lastModifiedBy>
  <cp:revision>3</cp:revision>
  <dcterms:created xsi:type="dcterms:W3CDTF">2025-09-22T16:32:00Z</dcterms:created>
  <dcterms:modified xsi:type="dcterms:W3CDTF">2025-09-22T17:05:00Z</dcterms:modified>
</cp:coreProperties>
</file>