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B08518" w14:textId="77777777" w:rsidR="00FA04A1" w:rsidRDefault="00C13F84">
      <w:pPr>
        <w:jc w:val="center"/>
        <w:rPr>
          <w:rFonts w:ascii="Times New Roman" w:eastAsia="Times New Roman" w:hAnsi="Times New Roman" w:cs="Times New Roman"/>
          <w:b/>
          <w:bCs/>
          <w:color w:val="000000"/>
          <w:sz w:val="22"/>
          <w:szCs w:val="22"/>
        </w:rPr>
      </w:pPr>
      <w:r>
        <w:rPr>
          <w:rFonts w:ascii="Times New Roman" w:eastAsia="Times New Roman" w:hAnsi="Times New Roman" w:cs="Times New Roman"/>
          <w:b/>
          <w:bCs/>
          <w:color w:val="000000"/>
          <w:sz w:val="22"/>
          <w:szCs w:val="22"/>
        </w:rPr>
        <w:t>TITLE 19</w:t>
      </w:r>
    </w:p>
    <w:p w14:paraId="3FEEE5CD" w14:textId="77777777" w:rsidR="00FA04A1" w:rsidRDefault="00C13F84">
      <w:pPr>
        <w:jc w:val="center"/>
        <w:rPr>
          <w:rFonts w:ascii="Times New Roman" w:eastAsia="Times New Roman" w:hAnsi="Times New Roman" w:cs="Times New Roman"/>
          <w:b/>
          <w:bCs/>
          <w:color w:val="000000"/>
          <w:sz w:val="22"/>
          <w:szCs w:val="22"/>
        </w:rPr>
      </w:pPr>
      <w:r>
        <w:rPr>
          <w:rFonts w:ascii="Times New Roman" w:eastAsia="Times New Roman" w:hAnsi="Times New Roman" w:cs="Times New Roman"/>
          <w:b/>
          <w:bCs/>
          <w:color w:val="000000"/>
          <w:sz w:val="22"/>
          <w:szCs w:val="22"/>
        </w:rPr>
        <w:t>LEGISLATIVE RULE</w:t>
      </w:r>
    </w:p>
    <w:p w14:paraId="4AF2BB85" w14:textId="71FDD487" w:rsidR="00FA04A1" w:rsidRDefault="00C13F84">
      <w:pPr>
        <w:jc w:val="center"/>
        <w:rPr>
          <w:rFonts w:ascii="Times New Roman" w:eastAsia="Times New Roman" w:hAnsi="Times New Roman" w:cs="Times New Roman"/>
          <w:b/>
          <w:bCs/>
          <w:color w:val="000000"/>
          <w:sz w:val="22"/>
          <w:szCs w:val="22"/>
        </w:rPr>
      </w:pPr>
      <w:r>
        <w:rPr>
          <w:rFonts w:ascii="Times New Roman" w:eastAsia="Times New Roman" w:hAnsi="Times New Roman" w:cs="Times New Roman"/>
          <w:b/>
          <w:bCs/>
          <w:color w:val="000000"/>
          <w:sz w:val="22"/>
          <w:szCs w:val="22"/>
        </w:rPr>
        <w:t xml:space="preserve">WEST VIRGINIA BOARD FOR REGISTERED NURSES </w:t>
      </w:r>
    </w:p>
    <w:p w14:paraId="5D10B32F" w14:textId="77777777" w:rsidR="00FA04A1" w:rsidRDefault="00FA04A1">
      <w:pPr>
        <w:jc w:val="center"/>
        <w:rPr>
          <w:rFonts w:ascii="Times New Roman" w:eastAsia="Times New Roman" w:hAnsi="Times New Roman" w:cs="Times New Roman"/>
          <w:b/>
          <w:bCs/>
          <w:color w:val="000000"/>
          <w:sz w:val="22"/>
          <w:szCs w:val="22"/>
        </w:rPr>
      </w:pPr>
    </w:p>
    <w:p w14:paraId="64B6F20E" w14:textId="77777777" w:rsidR="00FA04A1" w:rsidRDefault="00C13F84">
      <w:pPr>
        <w:jc w:val="center"/>
        <w:rPr>
          <w:rFonts w:ascii="Times New Roman" w:eastAsia="Times New Roman" w:hAnsi="Times New Roman" w:cs="Times New Roman"/>
          <w:b/>
          <w:bCs/>
          <w:color w:val="000000"/>
          <w:sz w:val="22"/>
          <w:szCs w:val="22"/>
        </w:rPr>
      </w:pPr>
      <w:r>
        <w:rPr>
          <w:rFonts w:ascii="Times New Roman" w:eastAsia="Times New Roman" w:hAnsi="Times New Roman" w:cs="Times New Roman"/>
          <w:b/>
          <w:bCs/>
          <w:color w:val="000000"/>
          <w:sz w:val="22"/>
          <w:szCs w:val="22"/>
        </w:rPr>
        <w:t>SERIES 14</w:t>
      </w:r>
    </w:p>
    <w:p w14:paraId="5970F713" w14:textId="77777777" w:rsidR="00FA04A1" w:rsidRDefault="00C13F84">
      <w:pPr>
        <w:jc w:val="center"/>
        <w:rPr>
          <w:rFonts w:ascii="Times New Roman" w:eastAsia="Times New Roman" w:hAnsi="Times New Roman" w:cs="Times New Roman"/>
          <w:b/>
          <w:bCs/>
          <w:color w:val="000000"/>
          <w:sz w:val="22"/>
          <w:szCs w:val="22"/>
        </w:rPr>
      </w:pPr>
      <w:r>
        <w:rPr>
          <w:rFonts w:ascii="Times New Roman" w:eastAsia="Times New Roman" w:hAnsi="Times New Roman" w:cs="Times New Roman"/>
          <w:b/>
          <w:bCs/>
          <w:color w:val="000000"/>
          <w:sz w:val="22"/>
          <w:szCs w:val="22"/>
        </w:rPr>
        <w:t>PRACTITIONER REQUIREMENTS FOR ACCESSING THE</w:t>
      </w:r>
    </w:p>
    <w:p w14:paraId="5DC374A2" w14:textId="77777777" w:rsidR="00FA04A1" w:rsidRDefault="00C13F84">
      <w:pPr>
        <w:jc w:val="center"/>
        <w:rPr>
          <w:rFonts w:ascii="Times New Roman" w:eastAsia="Times New Roman" w:hAnsi="Times New Roman" w:cs="Times New Roman"/>
          <w:b/>
          <w:bCs/>
          <w:color w:val="000000"/>
          <w:sz w:val="22"/>
          <w:szCs w:val="22"/>
        </w:rPr>
      </w:pPr>
      <w:r>
        <w:rPr>
          <w:rFonts w:ascii="Times New Roman" w:eastAsia="Times New Roman" w:hAnsi="Times New Roman" w:cs="Times New Roman"/>
          <w:b/>
          <w:bCs/>
          <w:color w:val="000000"/>
          <w:sz w:val="22"/>
          <w:szCs w:val="22"/>
        </w:rPr>
        <w:t>WEST VIRGINIA CONTROLLED SUBSTANCES MONITORING PROGRAM DATABASE</w:t>
      </w:r>
    </w:p>
    <w:p w14:paraId="2E5E57CC" w14:textId="77777777" w:rsidR="00FA04A1" w:rsidRDefault="00FA04A1">
      <w:pPr>
        <w:rPr>
          <w:rFonts w:ascii="Times New Roman" w:eastAsia="Times New Roman" w:hAnsi="Times New Roman" w:cs="Times New Roman"/>
          <w:color w:val="000000"/>
          <w:sz w:val="22"/>
          <w:szCs w:val="22"/>
        </w:rPr>
      </w:pPr>
    </w:p>
    <w:p w14:paraId="745B0AFE" w14:textId="77777777" w:rsidR="00FA04A1" w:rsidRDefault="00FA04A1">
      <w:pPr>
        <w:rPr>
          <w:rFonts w:ascii="Times New Roman" w:eastAsia="Times New Roman" w:hAnsi="Times New Roman" w:cs="Times New Roman"/>
          <w:color w:val="000000"/>
          <w:sz w:val="22"/>
          <w:szCs w:val="22"/>
        </w:rPr>
      </w:pPr>
    </w:p>
    <w:p w14:paraId="63C1A2F7" w14:textId="77777777" w:rsidR="00FA04A1" w:rsidRDefault="00C13F84">
      <w:pPr>
        <w:rPr>
          <w:rFonts w:ascii="Times New Roman" w:eastAsia="Times New Roman" w:hAnsi="Times New Roman" w:cs="Times New Roman"/>
          <w:b/>
          <w:bCs/>
          <w:color w:val="000000"/>
          <w:sz w:val="22"/>
          <w:szCs w:val="22"/>
        </w:rPr>
      </w:pPr>
      <w:r>
        <w:rPr>
          <w:rFonts w:ascii="Times New Roman" w:eastAsia="Times New Roman" w:hAnsi="Times New Roman" w:cs="Times New Roman"/>
          <w:b/>
          <w:bCs/>
          <w:color w:val="000000"/>
          <w:sz w:val="22"/>
          <w:szCs w:val="22"/>
        </w:rPr>
        <w:t>§19-14-1.  General.</w:t>
      </w:r>
    </w:p>
    <w:p w14:paraId="1695BEC4" w14:textId="77777777" w:rsidR="00FA04A1" w:rsidRDefault="00FA04A1">
      <w:pPr>
        <w:rPr>
          <w:rFonts w:ascii="Times New Roman" w:eastAsia="Times New Roman" w:hAnsi="Times New Roman" w:cs="Times New Roman"/>
          <w:color w:val="000000"/>
          <w:sz w:val="22"/>
          <w:szCs w:val="22"/>
        </w:rPr>
      </w:pPr>
    </w:p>
    <w:p w14:paraId="09C4214D" w14:textId="48BBBF60" w:rsidR="00FA04A1" w:rsidRPr="00AF6A94" w:rsidRDefault="00C13F84">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360"/>
        <w:jc w:val="both"/>
        <w:rPr>
          <w:rFonts w:ascii="Times New Roman" w:eastAsia="Times New Roman" w:hAnsi="Times New Roman" w:cs="Times New Roman"/>
          <w:color w:val="000000"/>
          <w:sz w:val="22"/>
          <w:szCs w:val="22"/>
        </w:rPr>
      </w:pPr>
      <w:r w:rsidRPr="00AF6A94">
        <w:rPr>
          <w:rFonts w:ascii="Times New Roman" w:eastAsia="Times New Roman" w:hAnsi="Times New Roman" w:cs="Times New Roman"/>
          <w:color w:val="000000"/>
          <w:sz w:val="22"/>
          <w:szCs w:val="22"/>
        </w:rPr>
        <w:t>1.1.  Scope.  --  W. Va. Code §60A-9-5</w:t>
      </w:r>
      <w:r w:rsidR="001C64A1" w:rsidRPr="00AF6A94">
        <w:rPr>
          <w:rFonts w:ascii="Times New Roman" w:eastAsia="Times New Roman" w:hAnsi="Times New Roman" w:cs="Times New Roman"/>
          <w:color w:val="000000"/>
          <w:sz w:val="22"/>
          <w:szCs w:val="22"/>
        </w:rPr>
        <w:t>A</w:t>
      </w:r>
      <w:r w:rsidRPr="00AF6A94">
        <w:rPr>
          <w:rFonts w:ascii="Times New Roman" w:eastAsia="Times New Roman" w:hAnsi="Times New Roman" w:cs="Times New Roman"/>
          <w:color w:val="000000"/>
          <w:sz w:val="22"/>
          <w:szCs w:val="22"/>
        </w:rPr>
        <w:t>(a</w:t>
      </w:r>
      <w:r w:rsidR="001C64A1" w:rsidRPr="00AF6A94">
        <w:rPr>
          <w:rFonts w:ascii="Times New Roman" w:eastAsia="Times New Roman" w:hAnsi="Times New Roman" w:cs="Times New Roman"/>
          <w:color w:val="000000"/>
          <w:sz w:val="22"/>
          <w:szCs w:val="22"/>
        </w:rPr>
        <w:t>)</w:t>
      </w:r>
      <w:r w:rsidRPr="00AF6A94">
        <w:rPr>
          <w:rFonts w:ascii="Times New Roman" w:eastAsia="Times New Roman" w:hAnsi="Times New Roman" w:cs="Times New Roman"/>
          <w:color w:val="000000"/>
          <w:sz w:val="22"/>
          <w:szCs w:val="22"/>
        </w:rPr>
        <w:t xml:space="preserve"> provides that </w:t>
      </w:r>
      <w:r w:rsidR="003235E9" w:rsidRPr="00AF6A94">
        <w:rPr>
          <w:rFonts w:ascii="Times New Roman" w:eastAsia="Times New Roman" w:hAnsi="Times New Roman" w:cs="Times New Roman"/>
          <w:color w:val="000000"/>
          <w:sz w:val="22"/>
          <w:szCs w:val="22"/>
        </w:rPr>
        <w:t>all practi</w:t>
      </w:r>
      <w:r w:rsidR="006D3545" w:rsidRPr="00AF6A94">
        <w:rPr>
          <w:rFonts w:ascii="Times New Roman" w:eastAsia="Times New Roman" w:hAnsi="Times New Roman" w:cs="Times New Roman"/>
          <w:color w:val="000000"/>
          <w:sz w:val="22"/>
          <w:szCs w:val="22"/>
        </w:rPr>
        <w:t>ti</w:t>
      </w:r>
      <w:r w:rsidR="003235E9" w:rsidRPr="00AF6A94">
        <w:rPr>
          <w:rFonts w:ascii="Times New Roman" w:eastAsia="Times New Roman" w:hAnsi="Times New Roman" w:cs="Times New Roman"/>
          <w:color w:val="000000"/>
          <w:sz w:val="22"/>
          <w:szCs w:val="22"/>
        </w:rPr>
        <w:t xml:space="preserve">oners who prescribe or dispense Schedule II, III, IV or V controlled substances shall register with the </w:t>
      </w:r>
      <w:r w:rsidR="006D3545" w:rsidRPr="00AF6A94">
        <w:rPr>
          <w:rFonts w:ascii="Times New Roman" w:eastAsia="Times New Roman" w:hAnsi="Times New Roman" w:cs="Times New Roman"/>
          <w:color w:val="000000"/>
          <w:sz w:val="22"/>
          <w:szCs w:val="22"/>
        </w:rPr>
        <w:t>C</w:t>
      </w:r>
      <w:r w:rsidR="003235E9" w:rsidRPr="00AF6A94">
        <w:rPr>
          <w:rFonts w:ascii="Times New Roman" w:eastAsia="Times New Roman" w:hAnsi="Times New Roman" w:cs="Times New Roman"/>
          <w:color w:val="000000"/>
          <w:sz w:val="22"/>
          <w:szCs w:val="22"/>
        </w:rPr>
        <w:t xml:space="preserve">ontrolled </w:t>
      </w:r>
      <w:r w:rsidR="006D3545" w:rsidRPr="00AF6A94">
        <w:rPr>
          <w:rFonts w:ascii="Times New Roman" w:eastAsia="Times New Roman" w:hAnsi="Times New Roman" w:cs="Times New Roman"/>
          <w:color w:val="000000"/>
          <w:sz w:val="22"/>
          <w:szCs w:val="22"/>
        </w:rPr>
        <w:t>S</w:t>
      </w:r>
      <w:r w:rsidR="003235E9" w:rsidRPr="00AF6A94">
        <w:rPr>
          <w:rFonts w:ascii="Times New Roman" w:eastAsia="Times New Roman" w:hAnsi="Times New Roman" w:cs="Times New Roman"/>
          <w:color w:val="000000"/>
          <w:sz w:val="22"/>
          <w:szCs w:val="22"/>
        </w:rPr>
        <w:t xml:space="preserve">ubstances </w:t>
      </w:r>
      <w:r w:rsidR="006D3545" w:rsidRPr="00AF6A94">
        <w:rPr>
          <w:rFonts w:ascii="Times New Roman" w:eastAsia="Times New Roman" w:hAnsi="Times New Roman" w:cs="Times New Roman"/>
          <w:color w:val="000000"/>
          <w:sz w:val="22"/>
          <w:szCs w:val="22"/>
        </w:rPr>
        <w:t>M</w:t>
      </w:r>
      <w:r w:rsidR="003235E9" w:rsidRPr="00AF6A94">
        <w:rPr>
          <w:rFonts w:ascii="Times New Roman" w:eastAsia="Times New Roman" w:hAnsi="Times New Roman" w:cs="Times New Roman"/>
          <w:color w:val="000000"/>
          <w:sz w:val="22"/>
          <w:szCs w:val="22"/>
        </w:rPr>
        <w:t>onitoring</w:t>
      </w:r>
      <w:r w:rsidR="006D3545" w:rsidRPr="00AF6A94">
        <w:rPr>
          <w:rFonts w:ascii="Times New Roman" w:eastAsia="Times New Roman" w:hAnsi="Times New Roman" w:cs="Times New Roman"/>
          <w:color w:val="000000"/>
          <w:sz w:val="22"/>
          <w:szCs w:val="22"/>
        </w:rPr>
        <w:t xml:space="preserve"> </w:t>
      </w:r>
      <w:r w:rsidR="003235E9" w:rsidRPr="00AF6A94">
        <w:rPr>
          <w:rFonts w:ascii="Times New Roman" w:eastAsia="Times New Roman" w:hAnsi="Times New Roman" w:cs="Times New Roman"/>
          <w:color w:val="000000"/>
          <w:sz w:val="22"/>
          <w:szCs w:val="22"/>
        </w:rPr>
        <w:t>Program and obtain and maintain online or other electronic access to the program database</w:t>
      </w:r>
      <w:r w:rsidR="006D3545" w:rsidRPr="00AF6A94">
        <w:rPr>
          <w:rFonts w:ascii="Times New Roman" w:eastAsia="Times New Roman" w:hAnsi="Times New Roman" w:cs="Times New Roman"/>
          <w:color w:val="000000"/>
          <w:sz w:val="22"/>
          <w:szCs w:val="22"/>
        </w:rPr>
        <w:t xml:space="preserve">: </w:t>
      </w:r>
      <w:r w:rsidR="006D3545" w:rsidRPr="00AF6A94">
        <w:rPr>
          <w:rFonts w:ascii="Times New Roman" w:eastAsia="Times New Roman" w:hAnsi="Times New Roman" w:cs="Times New Roman"/>
          <w:i/>
          <w:iCs/>
          <w:color w:val="000000"/>
          <w:sz w:val="22"/>
          <w:szCs w:val="22"/>
        </w:rPr>
        <w:t>Provided</w:t>
      </w:r>
      <w:r w:rsidR="006D3545" w:rsidRPr="00AF6A94">
        <w:rPr>
          <w:rFonts w:ascii="Times New Roman" w:eastAsia="Times New Roman" w:hAnsi="Times New Roman" w:cs="Times New Roman"/>
          <w:color w:val="000000"/>
          <w:sz w:val="22"/>
          <w:szCs w:val="22"/>
        </w:rPr>
        <w:t xml:space="preserve"> , That compliance with the provisions of this subsection must be accomplished within 30 days of the practitioner obtaining a new license: </w:t>
      </w:r>
      <w:r w:rsidR="006D3545" w:rsidRPr="00AF6A94">
        <w:rPr>
          <w:rFonts w:ascii="Times New Roman" w:eastAsia="Times New Roman" w:hAnsi="Times New Roman" w:cs="Times New Roman"/>
          <w:i/>
          <w:iCs/>
          <w:color w:val="000000"/>
          <w:sz w:val="22"/>
          <w:szCs w:val="22"/>
        </w:rPr>
        <w:t>Provided</w:t>
      </w:r>
      <w:r w:rsidR="006D3545" w:rsidRPr="00AF6A94">
        <w:rPr>
          <w:rFonts w:ascii="Times New Roman" w:eastAsia="Times New Roman" w:hAnsi="Times New Roman" w:cs="Times New Roman"/>
          <w:color w:val="000000"/>
          <w:sz w:val="22"/>
          <w:szCs w:val="22"/>
        </w:rPr>
        <w:t xml:space="preserve">, </w:t>
      </w:r>
      <w:r w:rsidR="001C64A1" w:rsidRPr="00AF6A94">
        <w:rPr>
          <w:rFonts w:ascii="Times New Roman" w:eastAsia="Times New Roman" w:hAnsi="Times New Roman" w:cs="Times New Roman"/>
          <w:color w:val="000000"/>
          <w:sz w:val="22"/>
          <w:szCs w:val="22"/>
        </w:rPr>
        <w:t>h</w:t>
      </w:r>
      <w:r w:rsidR="006D3545" w:rsidRPr="00AF6A94">
        <w:rPr>
          <w:rFonts w:ascii="Times New Roman" w:eastAsia="Times New Roman" w:hAnsi="Times New Roman" w:cs="Times New Roman"/>
          <w:color w:val="000000"/>
          <w:sz w:val="22"/>
          <w:szCs w:val="22"/>
        </w:rPr>
        <w:t>owever, That the Board of Pharmacy may renew a practitioner’s license without proof that the practitioner meet the requirements of this subsection.</w:t>
      </w:r>
      <w:r w:rsidR="001C64A1" w:rsidRPr="00AF6A94">
        <w:rPr>
          <w:rFonts w:ascii="Times New Roman" w:eastAsia="Times New Roman" w:hAnsi="Times New Roman" w:cs="Times New Roman"/>
          <w:color w:val="000000"/>
          <w:sz w:val="22"/>
          <w:szCs w:val="22"/>
        </w:rPr>
        <w:t xml:space="preserve"> </w:t>
      </w:r>
      <w:r w:rsidR="00E826CE" w:rsidRPr="00AF6A94">
        <w:rPr>
          <w:rFonts w:ascii="Times New Roman" w:eastAsia="Times New Roman" w:hAnsi="Times New Roman" w:cs="Times New Roman"/>
          <w:color w:val="000000"/>
          <w:sz w:val="22"/>
          <w:szCs w:val="22"/>
        </w:rPr>
        <w:t>W. Va. Code §60A-9-5</w:t>
      </w:r>
      <w:r w:rsidR="00E343D5" w:rsidRPr="00AF6A94">
        <w:rPr>
          <w:rFonts w:ascii="Times New Roman" w:eastAsia="Times New Roman" w:hAnsi="Times New Roman" w:cs="Times New Roman"/>
          <w:color w:val="000000"/>
          <w:sz w:val="22"/>
          <w:szCs w:val="22"/>
        </w:rPr>
        <w:t>A</w:t>
      </w:r>
      <w:r w:rsidR="00E826CE" w:rsidRPr="00AF6A94">
        <w:rPr>
          <w:rFonts w:ascii="Times New Roman" w:eastAsia="Times New Roman" w:hAnsi="Times New Roman" w:cs="Times New Roman"/>
          <w:color w:val="000000"/>
          <w:sz w:val="22"/>
          <w:szCs w:val="22"/>
        </w:rPr>
        <w:t>(b)  provides that a</w:t>
      </w:r>
      <w:r w:rsidR="001C64A1" w:rsidRPr="00AF6A94">
        <w:rPr>
          <w:rFonts w:ascii="Times New Roman" w:eastAsia="Times New Roman" w:hAnsi="Times New Roman" w:cs="Times New Roman"/>
          <w:color w:val="000000"/>
          <w:sz w:val="22"/>
          <w:szCs w:val="22"/>
        </w:rPr>
        <w:t>ll persons</w:t>
      </w:r>
      <w:r w:rsidR="001C6837" w:rsidRPr="00AF6A94">
        <w:rPr>
          <w:rFonts w:ascii="Times New Roman" w:eastAsia="Times New Roman" w:hAnsi="Times New Roman" w:cs="Times New Roman"/>
          <w:color w:val="000000"/>
          <w:sz w:val="22"/>
          <w:szCs w:val="22"/>
        </w:rPr>
        <w:t xml:space="preserve"> with prescriptive or dispensing </w:t>
      </w:r>
      <w:r w:rsidR="00C322E5" w:rsidRPr="00AF6A94">
        <w:rPr>
          <w:rFonts w:ascii="Times New Roman" w:eastAsia="Times New Roman" w:hAnsi="Times New Roman" w:cs="Times New Roman"/>
          <w:color w:val="000000"/>
          <w:sz w:val="22"/>
          <w:szCs w:val="22"/>
        </w:rPr>
        <w:t>a</w:t>
      </w:r>
      <w:r w:rsidR="001C6837" w:rsidRPr="00AF6A94">
        <w:rPr>
          <w:rFonts w:ascii="Times New Roman" w:eastAsia="Times New Roman" w:hAnsi="Times New Roman" w:cs="Times New Roman"/>
          <w:color w:val="000000"/>
          <w:sz w:val="22"/>
          <w:szCs w:val="22"/>
        </w:rPr>
        <w:t>uthority and in possession of a valid Drug Enf</w:t>
      </w:r>
      <w:r w:rsidR="00C322E5" w:rsidRPr="00AF6A94">
        <w:rPr>
          <w:rFonts w:ascii="Times New Roman" w:eastAsia="Times New Roman" w:hAnsi="Times New Roman" w:cs="Times New Roman"/>
          <w:color w:val="000000"/>
          <w:sz w:val="22"/>
          <w:szCs w:val="22"/>
        </w:rPr>
        <w:t>o</w:t>
      </w:r>
      <w:r w:rsidR="001C6837" w:rsidRPr="00AF6A94">
        <w:rPr>
          <w:rFonts w:ascii="Times New Roman" w:eastAsia="Times New Roman" w:hAnsi="Times New Roman" w:cs="Times New Roman"/>
          <w:color w:val="000000"/>
          <w:sz w:val="22"/>
          <w:szCs w:val="22"/>
        </w:rPr>
        <w:t>rcement Administration registration</w:t>
      </w:r>
      <w:r w:rsidR="00C322E5" w:rsidRPr="00AF6A94">
        <w:rPr>
          <w:rFonts w:ascii="Times New Roman" w:eastAsia="Times New Roman" w:hAnsi="Times New Roman" w:cs="Times New Roman"/>
          <w:color w:val="000000"/>
          <w:sz w:val="22"/>
          <w:szCs w:val="22"/>
        </w:rPr>
        <w:t xml:space="preserve"> </w:t>
      </w:r>
      <w:r w:rsidR="001C6837" w:rsidRPr="00AF6A94">
        <w:rPr>
          <w:rFonts w:ascii="Times New Roman" w:eastAsia="Times New Roman" w:hAnsi="Times New Roman" w:cs="Times New Roman"/>
          <w:color w:val="000000"/>
          <w:sz w:val="22"/>
          <w:szCs w:val="22"/>
        </w:rPr>
        <w:t>identification number and who are licensed by the Board of Registered Nurses</w:t>
      </w:r>
      <w:r w:rsidR="001C64A1" w:rsidRPr="00AF6A94">
        <w:rPr>
          <w:rFonts w:ascii="Times New Roman" w:eastAsia="Times New Roman" w:hAnsi="Times New Roman" w:cs="Times New Roman"/>
          <w:color w:val="000000"/>
          <w:sz w:val="22"/>
          <w:szCs w:val="22"/>
        </w:rPr>
        <w:t xml:space="preserve"> </w:t>
      </w:r>
      <w:r w:rsidRPr="00AF6A94">
        <w:rPr>
          <w:rFonts w:ascii="Times New Roman" w:eastAsia="Times New Roman" w:hAnsi="Times New Roman" w:cs="Times New Roman"/>
          <w:color w:val="000000"/>
          <w:sz w:val="22"/>
          <w:szCs w:val="22"/>
        </w:rPr>
        <w:t>upon initially prescribing or dispensing any pain-relieving substance for a patient</w:t>
      </w:r>
      <w:r w:rsidR="00E343D5" w:rsidRPr="00AF6A94">
        <w:rPr>
          <w:rFonts w:ascii="Times New Roman" w:eastAsia="Times New Roman" w:hAnsi="Times New Roman" w:cs="Times New Roman"/>
          <w:color w:val="000000"/>
          <w:sz w:val="22"/>
          <w:szCs w:val="22"/>
        </w:rPr>
        <w:t>,</w:t>
      </w:r>
      <w:r w:rsidRPr="00AF6A94">
        <w:rPr>
          <w:rFonts w:ascii="Times New Roman" w:eastAsia="Times New Roman" w:hAnsi="Times New Roman" w:cs="Times New Roman"/>
          <w:color w:val="000000"/>
          <w:sz w:val="22"/>
          <w:szCs w:val="22"/>
        </w:rPr>
        <w:t xml:space="preserve"> </w:t>
      </w:r>
      <w:r w:rsidR="001C6837" w:rsidRPr="00AF6A94">
        <w:rPr>
          <w:rFonts w:ascii="Times New Roman" w:eastAsia="Times New Roman" w:hAnsi="Times New Roman" w:cs="Times New Roman"/>
          <w:color w:val="000000"/>
          <w:sz w:val="22"/>
          <w:szCs w:val="22"/>
        </w:rPr>
        <w:t>any Schedule II controlled substance, any opioid or any benzodiazepine to a patient who is not suffering from a terminal illness, and at least annually thereafter should the practitioner</w:t>
      </w:r>
      <w:r w:rsidR="00C322E5" w:rsidRPr="00AF6A94">
        <w:rPr>
          <w:rFonts w:ascii="Times New Roman" w:eastAsia="Times New Roman" w:hAnsi="Times New Roman" w:cs="Times New Roman"/>
          <w:color w:val="000000"/>
          <w:sz w:val="22"/>
          <w:szCs w:val="22"/>
        </w:rPr>
        <w:t xml:space="preserve"> or dispenser continue to treat the patient with a controlled substance, shall access the West Virginia Controlled Substances Monitoring Program Database for information regarding specific patients. The information obtained from accessing the West Virginia Controlled Substances Monitoring </w:t>
      </w:r>
      <w:r w:rsidR="00E826CE" w:rsidRPr="00AF6A94">
        <w:rPr>
          <w:rFonts w:ascii="Times New Roman" w:eastAsia="Times New Roman" w:hAnsi="Times New Roman" w:cs="Times New Roman"/>
          <w:color w:val="000000"/>
          <w:sz w:val="22"/>
          <w:szCs w:val="22"/>
        </w:rPr>
        <w:t>P</w:t>
      </w:r>
      <w:r w:rsidR="00C322E5" w:rsidRPr="00AF6A94">
        <w:rPr>
          <w:rFonts w:ascii="Times New Roman" w:eastAsia="Times New Roman" w:hAnsi="Times New Roman" w:cs="Times New Roman"/>
          <w:color w:val="000000"/>
          <w:sz w:val="22"/>
          <w:szCs w:val="22"/>
        </w:rPr>
        <w:t>rogram Database for the patient shall be documented in the patient’s medical record maintained by a private prescriber or any in</w:t>
      </w:r>
      <w:r w:rsidR="00E826CE" w:rsidRPr="00AF6A94">
        <w:rPr>
          <w:rFonts w:ascii="Times New Roman" w:eastAsia="Times New Roman" w:hAnsi="Times New Roman" w:cs="Times New Roman"/>
          <w:color w:val="000000"/>
          <w:sz w:val="22"/>
          <w:szCs w:val="22"/>
        </w:rPr>
        <w:t>patient facility licensed pursuant to the provisions of Chapter 16 of this code.</w:t>
      </w:r>
      <w:r w:rsidR="001C6837" w:rsidRPr="00AF6A94">
        <w:rPr>
          <w:rFonts w:ascii="Times New Roman" w:eastAsia="Times New Roman" w:hAnsi="Times New Roman" w:cs="Times New Roman"/>
          <w:color w:val="000000"/>
          <w:sz w:val="22"/>
          <w:szCs w:val="22"/>
        </w:rPr>
        <w:t xml:space="preserve"> </w:t>
      </w:r>
      <w:r w:rsidR="00E826CE" w:rsidRPr="00AF6A94">
        <w:rPr>
          <w:rFonts w:ascii="Times New Roman" w:eastAsia="Times New Roman" w:hAnsi="Times New Roman" w:cs="Times New Roman"/>
          <w:color w:val="000000"/>
          <w:sz w:val="22"/>
          <w:szCs w:val="22"/>
        </w:rPr>
        <w:t>A pain-relieving controlled substance shall be defined as set forth in §30-3A-1 of this code</w:t>
      </w:r>
      <w:r w:rsidR="007227D4" w:rsidRPr="00AF6A94">
        <w:rPr>
          <w:rFonts w:ascii="Times New Roman" w:eastAsia="Times New Roman" w:hAnsi="Times New Roman" w:cs="Times New Roman"/>
          <w:color w:val="000000"/>
          <w:sz w:val="22"/>
          <w:szCs w:val="22"/>
        </w:rPr>
        <w:t>.</w:t>
      </w:r>
      <w:r w:rsidR="001C6837" w:rsidRPr="00AF6A94">
        <w:rPr>
          <w:rFonts w:ascii="Times New Roman" w:eastAsia="Times New Roman" w:hAnsi="Times New Roman" w:cs="Times New Roman"/>
          <w:color w:val="000000"/>
          <w:sz w:val="22"/>
          <w:szCs w:val="22"/>
        </w:rPr>
        <w:t xml:space="preserve">  </w:t>
      </w:r>
      <w:r w:rsidRPr="00AF6A94">
        <w:rPr>
          <w:rFonts w:ascii="Times New Roman" w:eastAsia="Times New Roman" w:hAnsi="Times New Roman" w:cs="Times New Roman"/>
          <w:color w:val="000000"/>
          <w:sz w:val="22"/>
          <w:szCs w:val="22"/>
        </w:rPr>
        <w:t>W. Va. Code §60A-9-5</w:t>
      </w:r>
      <w:r w:rsidR="007227D4" w:rsidRPr="00AF6A94">
        <w:rPr>
          <w:rFonts w:ascii="Times New Roman" w:eastAsia="Times New Roman" w:hAnsi="Times New Roman" w:cs="Times New Roman"/>
          <w:color w:val="000000"/>
          <w:sz w:val="22"/>
          <w:szCs w:val="22"/>
        </w:rPr>
        <w:t>A</w:t>
      </w:r>
      <w:r w:rsidRPr="00AF6A94">
        <w:rPr>
          <w:rFonts w:ascii="Times New Roman" w:eastAsia="Times New Roman" w:hAnsi="Times New Roman" w:cs="Times New Roman"/>
          <w:color w:val="000000"/>
          <w:sz w:val="22"/>
          <w:szCs w:val="22"/>
        </w:rPr>
        <w:t>(b) provides that emergency and legislative rules are to be promulgated to effectuate the provisions of W. Va. Code §60A-9-5</w:t>
      </w:r>
      <w:r w:rsidR="007227D4" w:rsidRPr="00AF6A94">
        <w:rPr>
          <w:rFonts w:ascii="Times New Roman" w:eastAsia="Times New Roman" w:hAnsi="Times New Roman" w:cs="Times New Roman"/>
          <w:color w:val="000000"/>
          <w:sz w:val="22"/>
          <w:szCs w:val="22"/>
        </w:rPr>
        <w:t>A</w:t>
      </w:r>
      <w:r w:rsidRPr="00AF6A94">
        <w:rPr>
          <w:rFonts w:ascii="Times New Roman" w:eastAsia="Times New Roman" w:hAnsi="Times New Roman" w:cs="Times New Roman"/>
          <w:color w:val="000000"/>
          <w:sz w:val="22"/>
          <w:szCs w:val="22"/>
        </w:rPr>
        <w:t>.</w:t>
      </w:r>
    </w:p>
    <w:p w14:paraId="443E2E03" w14:textId="77777777" w:rsidR="00FA04A1" w:rsidRDefault="00FA04A1">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eastAsia="Times New Roman" w:hAnsi="Times New Roman" w:cs="Times New Roman"/>
          <w:color w:val="000000"/>
          <w:sz w:val="22"/>
          <w:szCs w:val="22"/>
        </w:rPr>
      </w:pPr>
    </w:p>
    <w:p w14:paraId="2077F4EB" w14:textId="37BCFD04" w:rsidR="00FA04A1" w:rsidRPr="009B5C93" w:rsidRDefault="00C13F84">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360"/>
        <w:jc w:val="both"/>
        <w:rPr>
          <w:rFonts w:ascii="Times New Roman" w:eastAsia="Times New Roman" w:hAnsi="Times New Roman" w:cs="Times New Roman"/>
          <w:color w:val="000000"/>
          <w:sz w:val="22"/>
          <w:szCs w:val="22"/>
        </w:rPr>
      </w:pPr>
      <w:r w:rsidRPr="009B5C93">
        <w:rPr>
          <w:rFonts w:ascii="Times New Roman" w:eastAsia="Times New Roman" w:hAnsi="Times New Roman" w:cs="Times New Roman"/>
          <w:color w:val="000000"/>
          <w:sz w:val="22"/>
          <w:szCs w:val="22"/>
        </w:rPr>
        <w:t>1.2.  Authority.  -- W. Va. Code §60A-9-5</w:t>
      </w:r>
      <w:r w:rsidR="007227D4" w:rsidRPr="009B5C93">
        <w:rPr>
          <w:rFonts w:ascii="Times New Roman" w:eastAsia="Times New Roman" w:hAnsi="Times New Roman" w:cs="Times New Roman"/>
          <w:color w:val="000000"/>
          <w:sz w:val="22"/>
          <w:szCs w:val="22"/>
        </w:rPr>
        <w:t>A</w:t>
      </w:r>
      <w:r w:rsidRPr="009B5C93">
        <w:rPr>
          <w:rFonts w:ascii="Times New Roman" w:eastAsia="Times New Roman" w:hAnsi="Times New Roman" w:cs="Times New Roman"/>
          <w:color w:val="000000"/>
          <w:sz w:val="22"/>
          <w:szCs w:val="22"/>
        </w:rPr>
        <w:t>(</w:t>
      </w:r>
      <w:r w:rsidR="004900BE" w:rsidRPr="009B5C93">
        <w:rPr>
          <w:rFonts w:ascii="Times New Roman" w:eastAsia="Times New Roman" w:hAnsi="Times New Roman" w:cs="Times New Roman"/>
          <w:color w:val="000000"/>
          <w:sz w:val="22"/>
          <w:szCs w:val="22"/>
        </w:rPr>
        <w:t>c</w:t>
      </w:r>
      <w:r w:rsidRPr="009B5C93">
        <w:rPr>
          <w:rFonts w:ascii="Times New Roman" w:eastAsia="Times New Roman" w:hAnsi="Times New Roman" w:cs="Times New Roman"/>
          <w:color w:val="000000"/>
          <w:sz w:val="22"/>
          <w:szCs w:val="22"/>
        </w:rPr>
        <w:t>)</w:t>
      </w:r>
    </w:p>
    <w:p w14:paraId="34FBAE51" w14:textId="77777777" w:rsidR="00FA04A1" w:rsidRPr="009B5C93" w:rsidRDefault="00FA04A1">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eastAsia="Times New Roman" w:hAnsi="Times New Roman" w:cs="Times New Roman"/>
          <w:color w:val="000000"/>
          <w:sz w:val="22"/>
          <w:szCs w:val="22"/>
        </w:rPr>
      </w:pPr>
    </w:p>
    <w:p w14:paraId="365B3630" w14:textId="25E82967" w:rsidR="00FA04A1" w:rsidRPr="009B5C93" w:rsidRDefault="00C13F84">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360"/>
        <w:jc w:val="both"/>
        <w:rPr>
          <w:rFonts w:ascii="Times New Roman" w:eastAsia="Times New Roman" w:hAnsi="Times New Roman" w:cs="Times New Roman"/>
          <w:color w:val="000000"/>
          <w:sz w:val="22"/>
          <w:szCs w:val="22"/>
        </w:rPr>
      </w:pPr>
      <w:r w:rsidRPr="009B5C93">
        <w:rPr>
          <w:rFonts w:ascii="Times New Roman" w:eastAsia="Times New Roman" w:hAnsi="Times New Roman" w:cs="Times New Roman"/>
          <w:color w:val="000000"/>
          <w:sz w:val="22"/>
          <w:szCs w:val="22"/>
        </w:rPr>
        <w:t xml:space="preserve">1.3.  Filing Date.  </w:t>
      </w:r>
      <w:proofErr w:type="gramStart"/>
      <w:r w:rsidRPr="009B5C93">
        <w:rPr>
          <w:rFonts w:ascii="Times New Roman" w:eastAsia="Times New Roman" w:hAnsi="Times New Roman" w:cs="Times New Roman"/>
          <w:color w:val="000000"/>
          <w:sz w:val="22"/>
          <w:szCs w:val="22"/>
        </w:rPr>
        <w:t xml:space="preserve">--  </w:t>
      </w:r>
      <w:r w:rsidR="00281D2A" w:rsidRPr="00281D2A">
        <w:rPr>
          <w:rFonts w:ascii="Times New Roman" w:eastAsia="Times New Roman" w:hAnsi="Times New Roman" w:cs="Times New Roman"/>
          <w:color w:val="000000"/>
          <w:sz w:val="22"/>
          <w:szCs w:val="22"/>
        </w:rPr>
        <w:t>April</w:t>
      </w:r>
      <w:proofErr w:type="gramEnd"/>
      <w:r w:rsidR="00281D2A" w:rsidRPr="00281D2A">
        <w:rPr>
          <w:rFonts w:ascii="Times New Roman" w:eastAsia="Times New Roman" w:hAnsi="Times New Roman" w:cs="Times New Roman"/>
          <w:color w:val="000000"/>
          <w:sz w:val="22"/>
          <w:szCs w:val="22"/>
        </w:rPr>
        <w:t xml:space="preserve"> </w:t>
      </w:r>
      <w:r w:rsidR="00C2497A">
        <w:rPr>
          <w:rFonts w:ascii="Times New Roman" w:eastAsia="Times New Roman" w:hAnsi="Times New Roman" w:cs="Times New Roman"/>
          <w:color w:val="000000"/>
          <w:sz w:val="22"/>
          <w:szCs w:val="22"/>
        </w:rPr>
        <w:t>18</w:t>
      </w:r>
      <w:r w:rsidR="00281D2A" w:rsidRPr="00281D2A">
        <w:rPr>
          <w:rFonts w:ascii="Times New Roman" w:eastAsia="Times New Roman" w:hAnsi="Times New Roman" w:cs="Times New Roman"/>
          <w:color w:val="000000"/>
          <w:sz w:val="22"/>
          <w:szCs w:val="22"/>
        </w:rPr>
        <w:t>, 2023</w:t>
      </w:r>
      <w:r w:rsidRPr="009B5C93">
        <w:rPr>
          <w:rFonts w:ascii="Times New Roman" w:eastAsia="Times New Roman" w:hAnsi="Times New Roman" w:cs="Times New Roman"/>
          <w:color w:val="000000"/>
          <w:sz w:val="22"/>
          <w:szCs w:val="22"/>
        </w:rPr>
        <w:t>.</w:t>
      </w:r>
    </w:p>
    <w:p w14:paraId="643AA454" w14:textId="77777777" w:rsidR="00FA04A1" w:rsidRPr="009B5C93" w:rsidRDefault="00FA04A1">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eastAsia="Times New Roman" w:hAnsi="Times New Roman" w:cs="Times New Roman"/>
          <w:color w:val="000000"/>
          <w:sz w:val="22"/>
          <w:szCs w:val="22"/>
        </w:rPr>
      </w:pPr>
    </w:p>
    <w:p w14:paraId="38BF2300" w14:textId="5236F67E" w:rsidR="00FA04A1" w:rsidRPr="009B5C93" w:rsidRDefault="00C13F84">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360"/>
        <w:jc w:val="both"/>
        <w:rPr>
          <w:rFonts w:ascii="Times New Roman" w:eastAsia="Times New Roman" w:hAnsi="Times New Roman" w:cs="Times New Roman"/>
          <w:color w:val="000000"/>
          <w:sz w:val="22"/>
          <w:szCs w:val="22"/>
        </w:rPr>
      </w:pPr>
      <w:r w:rsidRPr="009B5C93">
        <w:rPr>
          <w:rFonts w:ascii="Times New Roman" w:eastAsia="Times New Roman" w:hAnsi="Times New Roman" w:cs="Times New Roman"/>
          <w:color w:val="000000"/>
          <w:sz w:val="22"/>
          <w:szCs w:val="22"/>
        </w:rPr>
        <w:t xml:space="preserve">1.4.  Effective Date.  </w:t>
      </w:r>
      <w:proofErr w:type="gramStart"/>
      <w:r w:rsidRPr="009B5C93">
        <w:rPr>
          <w:rFonts w:ascii="Times New Roman" w:eastAsia="Times New Roman" w:hAnsi="Times New Roman" w:cs="Times New Roman"/>
          <w:color w:val="000000"/>
          <w:sz w:val="22"/>
          <w:szCs w:val="22"/>
        </w:rPr>
        <w:t xml:space="preserve">--  </w:t>
      </w:r>
      <w:r w:rsidR="00281D2A" w:rsidRPr="00281D2A">
        <w:rPr>
          <w:rFonts w:ascii="Times New Roman" w:eastAsia="Times New Roman" w:hAnsi="Times New Roman" w:cs="Times New Roman"/>
          <w:color w:val="000000"/>
          <w:sz w:val="22"/>
          <w:szCs w:val="22"/>
        </w:rPr>
        <w:t>April</w:t>
      </w:r>
      <w:proofErr w:type="gramEnd"/>
      <w:r w:rsidR="00281D2A" w:rsidRPr="00281D2A">
        <w:rPr>
          <w:rFonts w:ascii="Times New Roman" w:eastAsia="Times New Roman" w:hAnsi="Times New Roman" w:cs="Times New Roman"/>
          <w:color w:val="000000"/>
          <w:sz w:val="22"/>
          <w:szCs w:val="22"/>
        </w:rPr>
        <w:t xml:space="preserve"> </w:t>
      </w:r>
      <w:r w:rsidR="00FB5DA2">
        <w:rPr>
          <w:rFonts w:ascii="Times New Roman" w:eastAsia="Times New Roman" w:hAnsi="Times New Roman" w:cs="Times New Roman"/>
          <w:color w:val="000000"/>
          <w:sz w:val="22"/>
          <w:szCs w:val="22"/>
        </w:rPr>
        <w:t>24</w:t>
      </w:r>
      <w:r w:rsidR="00281D2A" w:rsidRPr="00281D2A">
        <w:rPr>
          <w:rFonts w:ascii="Times New Roman" w:eastAsia="Times New Roman" w:hAnsi="Times New Roman" w:cs="Times New Roman"/>
          <w:color w:val="000000"/>
          <w:sz w:val="22"/>
          <w:szCs w:val="22"/>
        </w:rPr>
        <w:t>, 2023</w:t>
      </w:r>
      <w:r w:rsidRPr="009B5C93">
        <w:rPr>
          <w:rFonts w:ascii="Times New Roman" w:eastAsia="Times New Roman" w:hAnsi="Times New Roman" w:cs="Times New Roman"/>
          <w:color w:val="000000"/>
          <w:sz w:val="22"/>
          <w:szCs w:val="22"/>
        </w:rPr>
        <w:t>.</w:t>
      </w:r>
    </w:p>
    <w:p w14:paraId="7566F4E4" w14:textId="09CDC91D" w:rsidR="008D0288" w:rsidRPr="009B5C93" w:rsidRDefault="008D0288">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360"/>
        <w:jc w:val="both"/>
        <w:rPr>
          <w:rFonts w:ascii="Times New Roman" w:eastAsia="Times New Roman" w:hAnsi="Times New Roman" w:cs="Times New Roman"/>
          <w:color w:val="000000"/>
          <w:sz w:val="22"/>
          <w:szCs w:val="22"/>
        </w:rPr>
      </w:pPr>
    </w:p>
    <w:p w14:paraId="7745592F" w14:textId="77777777" w:rsidR="009D5B26" w:rsidRPr="009B5C93" w:rsidRDefault="008D0288" w:rsidP="009D5B26">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360"/>
        <w:jc w:val="both"/>
        <w:rPr>
          <w:rFonts w:ascii="Times New Roman" w:eastAsia="Times New Roman" w:hAnsi="Times New Roman" w:cs="Times New Roman"/>
          <w:color w:val="000000"/>
          <w:sz w:val="22"/>
          <w:szCs w:val="22"/>
        </w:rPr>
      </w:pPr>
      <w:proofErr w:type="gramStart"/>
      <w:r w:rsidRPr="009B5C93">
        <w:rPr>
          <w:rFonts w:ascii="Times New Roman" w:eastAsia="Times New Roman" w:hAnsi="Times New Roman" w:cs="Times New Roman"/>
          <w:color w:val="000000"/>
          <w:sz w:val="22"/>
          <w:szCs w:val="22"/>
        </w:rPr>
        <w:t xml:space="preserve">1.5  </w:t>
      </w:r>
      <w:r w:rsidR="00A74033" w:rsidRPr="009B5C93">
        <w:rPr>
          <w:rFonts w:ascii="Times New Roman" w:eastAsia="Times New Roman" w:hAnsi="Times New Roman" w:cs="Times New Roman" w:hint="eastAsia"/>
          <w:color w:val="000000"/>
          <w:sz w:val="22"/>
          <w:szCs w:val="22"/>
        </w:rPr>
        <w:t>Sunset</w:t>
      </w:r>
      <w:proofErr w:type="gramEnd"/>
      <w:r w:rsidR="00A74033" w:rsidRPr="009B5C93">
        <w:rPr>
          <w:rFonts w:ascii="Times New Roman" w:eastAsia="Times New Roman" w:hAnsi="Times New Roman" w:cs="Times New Roman" w:hint="eastAsia"/>
          <w:color w:val="000000"/>
          <w:sz w:val="22"/>
          <w:szCs w:val="22"/>
        </w:rPr>
        <w:t xml:space="preserve"> Provision.  </w:t>
      </w:r>
      <w:proofErr w:type="gramStart"/>
      <w:r w:rsidR="00A74033" w:rsidRPr="009B5C93">
        <w:rPr>
          <w:rFonts w:ascii="Times New Roman" w:eastAsia="Times New Roman" w:hAnsi="Times New Roman" w:cs="Times New Roman" w:hint="eastAsia"/>
          <w:color w:val="000000"/>
          <w:sz w:val="22"/>
          <w:szCs w:val="22"/>
        </w:rPr>
        <w:t>--  This</w:t>
      </w:r>
      <w:proofErr w:type="gramEnd"/>
      <w:r w:rsidR="00A74033" w:rsidRPr="009B5C93">
        <w:rPr>
          <w:rFonts w:ascii="Times New Roman" w:eastAsia="Times New Roman" w:hAnsi="Times New Roman" w:cs="Times New Roman" w:hint="eastAsia"/>
          <w:color w:val="000000"/>
          <w:sz w:val="22"/>
          <w:szCs w:val="22"/>
        </w:rPr>
        <w:t xml:space="preserve"> rule shall terminate and have no further force or effect upon</w:t>
      </w:r>
      <w:r w:rsidR="009D5B26" w:rsidRPr="009B5C93">
        <w:rPr>
          <w:rFonts w:ascii="Times New Roman" w:eastAsia="Times New Roman" w:hAnsi="Times New Roman" w:cs="Times New Roman"/>
          <w:color w:val="000000"/>
          <w:sz w:val="22"/>
          <w:szCs w:val="22"/>
        </w:rPr>
        <w:t xml:space="preserve"> August 1, 2033.</w:t>
      </w:r>
    </w:p>
    <w:p w14:paraId="17AE93D7" w14:textId="4AE611CA" w:rsidR="00FA04A1" w:rsidRPr="009B5C93" w:rsidRDefault="00A74033" w:rsidP="009D5B26">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360"/>
        <w:jc w:val="both"/>
        <w:rPr>
          <w:rFonts w:ascii="Times New Roman" w:eastAsia="Times New Roman" w:hAnsi="Times New Roman" w:cs="Times New Roman"/>
          <w:color w:val="000000"/>
          <w:sz w:val="22"/>
          <w:szCs w:val="22"/>
        </w:rPr>
      </w:pPr>
      <w:r w:rsidRPr="009B5C93">
        <w:rPr>
          <w:rFonts w:ascii="Times New Roman" w:eastAsia="Times New Roman" w:hAnsi="Times New Roman" w:cs="Times New Roman" w:hint="eastAsia"/>
          <w:color w:val="000000"/>
          <w:sz w:val="22"/>
          <w:szCs w:val="22"/>
        </w:rPr>
        <w:t xml:space="preserve">  </w:t>
      </w:r>
    </w:p>
    <w:p w14:paraId="1F6A549B" w14:textId="77777777" w:rsidR="00FA04A1" w:rsidRDefault="00C13F84">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eastAsia="Times New Roman" w:hAnsi="Times New Roman" w:cs="Times New Roman"/>
          <w:b/>
          <w:bCs/>
          <w:color w:val="000000"/>
          <w:sz w:val="22"/>
          <w:szCs w:val="22"/>
        </w:rPr>
      </w:pPr>
      <w:r>
        <w:rPr>
          <w:rFonts w:ascii="Times New Roman" w:eastAsia="Times New Roman" w:hAnsi="Times New Roman" w:cs="Times New Roman"/>
          <w:b/>
          <w:bCs/>
          <w:color w:val="000000"/>
          <w:sz w:val="22"/>
          <w:szCs w:val="22"/>
        </w:rPr>
        <w:t>§19-14-2.  Definitions.</w:t>
      </w:r>
    </w:p>
    <w:p w14:paraId="4D3C8C4F" w14:textId="77777777" w:rsidR="00FA04A1" w:rsidRDefault="00FA04A1">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eastAsia="Times New Roman" w:hAnsi="Times New Roman" w:cs="Times New Roman"/>
          <w:color w:val="000000"/>
          <w:sz w:val="22"/>
          <w:szCs w:val="22"/>
        </w:rPr>
      </w:pPr>
    </w:p>
    <w:p w14:paraId="26DF8FE9" w14:textId="77777777" w:rsidR="00FA04A1" w:rsidRDefault="00C13F84">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360"/>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2.1.  As used in this rule, the following words and terms have the following meaning:</w:t>
      </w:r>
    </w:p>
    <w:p w14:paraId="69A0B5FC" w14:textId="77777777" w:rsidR="00FA04A1" w:rsidRDefault="00FA04A1">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eastAsia="Times New Roman" w:hAnsi="Times New Roman" w:cs="Times New Roman"/>
          <w:color w:val="000000"/>
          <w:sz w:val="22"/>
          <w:szCs w:val="22"/>
        </w:rPr>
      </w:pPr>
    </w:p>
    <w:p w14:paraId="5572644E" w14:textId="77777777" w:rsidR="00FA04A1" w:rsidRDefault="00C13F84">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720"/>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2.1.a.  "Administering” means the direct application of a drug to the body of a patient by injection, inhalation, </w:t>
      </w:r>
      <w:proofErr w:type="gramStart"/>
      <w:r>
        <w:rPr>
          <w:rFonts w:ascii="Times New Roman" w:eastAsia="Times New Roman" w:hAnsi="Times New Roman" w:cs="Times New Roman"/>
          <w:color w:val="000000"/>
          <w:sz w:val="22"/>
          <w:szCs w:val="22"/>
        </w:rPr>
        <w:t>ingestion</w:t>
      </w:r>
      <w:proofErr w:type="gramEnd"/>
      <w:r>
        <w:rPr>
          <w:rFonts w:ascii="Times New Roman" w:eastAsia="Times New Roman" w:hAnsi="Times New Roman" w:cs="Times New Roman"/>
          <w:color w:val="000000"/>
          <w:sz w:val="22"/>
          <w:szCs w:val="22"/>
        </w:rPr>
        <w:t xml:space="preserve"> or any other means by a registered professional nurse with valid prescribing privileges.</w:t>
      </w:r>
    </w:p>
    <w:p w14:paraId="207EE36C" w14:textId="77777777" w:rsidR="00FA04A1" w:rsidRDefault="00FA04A1">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eastAsia="Times New Roman" w:hAnsi="Times New Roman" w:cs="Times New Roman"/>
          <w:color w:val="000000"/>
          <w:sz w:val="22"/>
          <w:szCs w:val="22"/>
        </w:rPr>
      </w:pPr>
    </w:p>
    <w:p w14:paraId="3EE76CF8" w14:textId="77777777" w:rsidR="00FA04A1" w:rsidRDefault="00C13F84">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720"/>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2.1.b.  “Authorized agent” means an individual, who is an employee of any of the covered persons or entities permitted to have access to the central repository who is specifically designated by the Advanced Practice Registered Nurse with prescriptive privileges to access the central repository on behalf of the covered person or entity. </w:t>
      </w:r>
    </w:p>
    <w:p w14:paraId="4F4C2B8D" w14:textId="77777777" w:rsidR="00FA04A1" w:rsidRDefault="00FA04A1">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eastAsia="Times New Roman" w:hAnsi="Times New Roman" w:cs="Times New Roman"/>
          <w:color w:val="000000"/>
          <w:sz w:val="22"/>
          <w:szCs w:val="22"/>
          <w:u w:val="single"/>
        </w:rPr>
      </w:pPr>
    </w:p>
    <w:p w14:paraId="382FA8AC" w14:textId="1AF9414E" w:rsidR="00FA04A1" w:rsidRDefault="00C13F84">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720"/>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2.1.c.  "Board” means the West Virginia Board for Registered Nurses as described at W. Va. Code §30-7-1 et seq.</w:t>
      </w:r>
    </w:p>
    <w:p w14:paraId="1766B045" w14:textId="77777777" w:rsidR="00FA04A1" w:rsidRDefault="00FA04A1">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eastAsia="Times New Roman" w:hAnsi="Times New Roman" w:cs="Times New Roman"/>
          <w:color w:val="000000"/>
          <w:sz w:val="22"/>
          <w:szCs w:val="22"/>
        </w:rPr>
      </w:pPr>
    </w:p>
    <w:p w14:paraId="5984FC1D" w14:textId="77777777" w:rsidR="00FA04A1" w:rsidRDefault="00C13F84">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720"/>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2.1.d.  “Chronic nonmalignant pain” means pain that has persisted after reasonable medical efforts have been made to relieve the pain or cure its cause and that has continued, either continuously or episodically, for longer than 3 continuous months.  For purposes of this rule, “chronic nonmalignant pain” does not include pain associated with a terminal condition or illness or with a progressive disease that, in the normal course of progression, may reasonably be expected to result in a terminal condition or illness.</w:t>
      </w:r>
    </w:p>
    <w:p w14:paraId="5DC8D573" w14:textId="77777777" w:rsidR="00FA04A1" w:rsidRDefault="00FA04A1">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eastAsia="Times New Roman" w:hAnsi="Times New Roman" w:cs="Times New Roman"/>
          <w:color w:val="000000"/>
          <w:sz w:val="22"/>
          <w:szCs w:val="22"/>
        </w:rPr>
      </w:pPr>
    </w:p>
    <w:p w14:paraId="7CB192B6" w14:textId="77777777" w:rsidR="00FA04A1" w:rsidRDefault="00C13F84">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720"/>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2.1.e.  "Controlled substance” means a drug that is classified by federal or state law in Schedules I, II, Ill, IV or V, as defined in W. Va. Code §60A-2-204 through 212.</w:t>
      </w:r>
    </w:p>
    <w:p w14:paraId="52861D33" w14:textId="77777777" w:rsidR="008D0288" w:rsidRDefault="008D0288">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720"/>
        <w:jc w:val="both"/>
        <w:rPr>
          <w:rFonts w:ascii="Times New Roman" w:eastAsia="Times New Roman" w:hAnsi="Times New Roman" w:cs="Times New Roman"/>
          <w:color w:val="000000"/>
          <w:sz w:val="22"/>
          <w:szCs w:val="22"/>
        </w:rPr>
      </w:pPr>
    </w:p>
    <w:p w14:paraId="60C47200" w14:textId="4702D3DA" w:rsidR="00FA04A1" w:rsidRDefault="00C13F84">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720"/>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2.1.f.  "Course of treatment" means the </w:t>
      </w:r>
      <w:proofErr w:type="gramStart"/>
      <w:r>
        <w:rPr>
          <w:rFonts w:ascii="Times New Roman" w:eastAsia="Times New Roman" w:hAnsi="Times New Roman" w:cs="Times New Roman"/>
          <w:color w:val="000000"/>
          <w:sz w:val="22"/>
          <w:szCs w:val="22"/>
        </w:rPr>
        <w:t>period of time</w:t>
      </w:r>
      <w:proofErr w:type="gramEnd"/>
      <w:r>
        <w:rPr>
          <w:rFonts w:ascii="Times New Roman" w:eastAsia="Times New Roman" w:hAnsi="Times New Roman" w:cs="Times New Roman"/>
          <w:color w:val="000000"/>
          <w:sz w:val="22"/>
          <w:szCs w:val="22"/>
        </w:rPr>
        <w:t xml:space="preserve"> necessary to effect a cure for an acute disease, or the period of time from one office visit until the next scheduled or anticipated office visit for a chronic disease.</w:t>
      </w:r>
    </w:p>
    <w:p w14:paraId="6B565898" w14:textId="77777777" w:rsidR="00FA04A1" w:rsidRDefault="00FA04A1">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eastAsia="Times New Roman" w:hAnsi="Times New Roman" w:cs="Times New Roman"/>
          <w:color w:val="000000"/>
          <w:sz w:val="22"/>
          <w:szCs w:val="22"/>
        </w:rPr>
      </w:pPr>
    </w:p>
    <w:p w14:paraId="6A919CF4" w14:textId="77777777" w:rsidR="00FA04A1" w:rsidRDefault="00C13F84">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720"/>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2.1.g.  "CSMP" means the West Virginia Controlled Substances Monitoring Program repository and database.</w:t>
      </w:r>
    </w:p>
    <w:p w14:paraId="6F3F1F78" w14:textId="77777777" w:rsidR="00FA04A1" w:rsidRDefault="00FA04A1">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eastAsia="Times New Roman" w:hAnsi="Times New Roman" w:cs="Times New Roman"/>
          <w:color w:val="000000"/>
          <w:sz w:val="22"/>
          <w:szCs w:val="22"/>
        </w:rPr>
      </w:pPr>
    </w:p>
    <w:p w14:paraId="63A72ED6" w14:textId="77777777" w:rsidR="00FA04A1" w:rsidRDefault="00C13F84">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720"/>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2.1.h.  “DEA registration identification number” means the federal Drug Enforcement Administration registration identification number issued to a practitioner.</w:t>
      </w:r>
    </w:p>
    <w:p w14:paraId="1FBCA57B" w14:textId="77777777" w:rsidR="00FA04A1" w:rsidRDefault="00FA04A1">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eastAsia="Times New Roman" w:hAnsi="Times New Roman" w:cs="Times New Roman"/>
          <w:color w:val="000000"/>
          <w:sz w:val="22"/>
          <w:szCs w:val="22"/>
        </w:rPr>
      </w:pPr>
    </w:p>
    <w:p w14:paraId="23251C14" w14:textId="77777777" w:rsidR="00FA04A1" w:rsidRPr="00C0070C" w:rsidRDefault="00C13F84">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720"/>
        <w:jc w:val="both"/>
        <w:rPr>
          <w:rFonts w:ascii="Times New Roman" w:eastAsia="Times New Roman" w:hAnsi="Times New Roman" w:cs="Times New Roman"/>
          <w:color w:val="000000"/>
          <w:sz w:val="22"/>
          <w:szCs w:val="22"/>
        </w:rPr>
      </w:pPr>
      <w:r w:rsidRPr="00C0070C">
        <w:rPr>
          <w:rFonts w:ascii="Times New Roman" w:eastAsia="Times New Roman" w:hAnsi="Times New Roman" w:cs="Times New Roman"/>
          <w:color w:val="000000"/>
          <w:sz w:val="22"/>
          <w:szCs w:val="22"/>
        </w:rPr>
        <w:t xml:space="preserve">2.1.i.  "Dispensing” means the preparation and delivery of a drug to an ultimate user by or pursuant to a lawful order of a practitioner, including the prescribing, packaging, labeling, </w:t>
      </w:r>
      <w:proofErr w:type="gramStart"/>
      <w:r w:rsidRPr="00C0070C">
        <w:rPr>
          <w:rFonts w:ascii="Times New Roman" w:eastAsia="Times New Roman" w:hAnsi="Times New Roman" w:cs="Times New Roman"/>
          <w:color w:val="000000"/>
          <w:sz w:val="22"/>
          <w:szCs w:val="22"/>
        </w:rPr>
        <w:t>administering</w:t>
      </w:r>
      <w:proofErr w:type="gramEnd"/>
      <w:r w:rsidRPr="00C0070C">
        <w:rPr>
          <w:rFonts w:ascii="Times New Roman" w:eastAsia="Times New Roman" w:hAnsi="Times New Roman" w:cs="Times New Roman"/>
          <w:color w:val="000000"/>
          <w:sz w:val="22"/>
          <w:szCs w:val="22"/>
        </w:rPr>
        <w:t xml:space="preserve"> or compounding necessary to prepare the drug for that delivery.</w:t>
      </w:r>
    </w:p>
    <w:p w14:paraId="61B2EE2D" w14:textId="77777777" w:rsidR="00FA04A1" w:rsidRDefault="00FA04A1">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eastAsia="Times New Roman" w:hAnsi="Times New Roman" w:cs="Times New Roman"/>
          <w:color w:val="000000"/>
          <w:sz w:val="22"/>
          <w:szCs w:val="22"/>
        </w:rPr>
      </w:pPr>
    </w:p>
    <w:p w14:paraId="2868160E" w14:textId="6C41D2D8" w:rsidR="00FA04A1" w:rsidRDefault="00C13F84">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720"/>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2.1.j.  "Medical records" means records including the medical history and physical examination; </w:t>
      </w:r>
      <w:r w:rsidR="008D0288">
        <w:rPr>
          <w:rFonts w:ascii="Times New Roman" w:eastAsia="Times New Roman" w:hAnsi="Times New Roman" w:cs="Times New Roman"/>
          <w:color w:val="000000"/>
          <w:sz w:val="22"/>
          <w:szCs w:val="22"/>
        </w:rPr>
        <w:t>diagnostic, therapeutic</w:t>
      </w:r>
      <w:r>
        <w:rPr>
          <w:rFonts w:ascii="Times New Roman" w:eastAsia="Times New Roman" w:hAnsi="Times New Roman" w:cs="Times New Roman"/>
          <w:color w:val="000000"/>
          <w:sz w:val="22"/>
          <w:szCs w:val="22"/>
        </w:rPr>
        <w:t xml:space="preserve"> and </w:t>
      </w:r>
      <w:proofErr w:type="gramStart"/>
      <w:r>
        <w:rPr>
          <w:rFonts w:ascii="Times New Roman" w:eastAsia="Times New Roman" w:hAnsi="Times New Roman" w:cs="Times New Roman"/>
          <w:color w:val="000000"/>
          <w:sz w:val="22"/>
          <w:szCs w:val="22"/>
        </w:rPr>
        <w:t>laboratory  results</w:t>
      </w:r>
      <w:proofErr w:type="gramEnd"/>
      <w:r>
        <w:rPr>
          <w:rFonts w:ascii="Times New Roman" w:eastAsia="Times New Roman" w:hAnsi="Times New Roman" w:cs="Times New Roman"/>
          <w:color w:val="000000"/>
          <w:sz w:val="22"/>
          <w:szCs w:val="22"/>
        </w:rPr>
        <w:t>;  evaluations  and  consultations;  treatment objectives;  discussion  of  risks  and  benefits;  informed  consent;  treatments;  medications (including date, type, dosage and quantity provided); instructions and agreements; and periodic reviews.</w:t>
      </w:r>
    </w:p>
    <w:p w14:paraId="3C22EB88" w14:textId="77777777" w:rsidR="00FA04A1" w:rsidRDefault="00FA04A1">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eastAsia="Times New Roman" w:hAnsi="Times New Roman" w:cs="Times New Roman"/>
          <w:color w:val="000000"/>
          <w:sz w:val="22"/>
          <w:szCs w:val="22"/>
        </w:rPr>
      </w:pPr>
    </w:p>
    <w:p w14:paraId="22B28F15" w14:textId="510A3FF2" w:rsidR="00FA04A1" w:rsidRDefault="00C13F84">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720"/>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2.1.k.  "Opioid" means natural and semi-synthetic derivatives of the opium poppy, as well as similar synthetic compounds that have analgesic or </w:t>
      </w:r>
      <w:r w:rsidR="007A7313">
        <w:rPr>
          <w:rFonts w:ascii="Times New Roman" w:eastAsia="Times New Roman" w:hAnsi="Times New Roman" w:cs="Times New Roman"/>
          <w:color w:val="000000"/>
          <w:sz w:val="22"/>
          <w:szCs w:val="22"/>
        </w:rPr>
        <w:t>pain</w:t>
      </w:r>
      <w:r w:rsidR="007A7313" w:rsidRPr="007A7313">
        <w:rPr>
          <w:rFonts w:ascii="Times New Roman" w:eastAsia="Times New Roman" w:hAnsi="Times New Roman" w:cs="Times New Roman"/>
          <w:color w:val="000000"/>
          <w:sz w:val="22"/>
          <w:szCs w:val="22"/>
          <w:u w:val="words"/>
        </w:rPr>
        <w:t>-</w:t>
      </w:r>
      <w:r w:rsidR="007A7313">
        <w:rPr>
          <w:rFonts w:ascii="Times New Roman" w:eastAsia="Times New Roman" w:hAnsi="Times New Roman" w:cs="Times New Roman"/>
          <w:color w:val="000000"/>
          <w:sz w:val="22"/>
          <w:szCs w:val="22"/>
        </w:rPr>
        <w:t>relieving</w:t>
      </w:r>
      <w:r>
        <w:rPr>
          <w:rFonts w:ascii="Times New Roman" w:eastAsia="Times New Roman" w:hAnsi="Times New Roman" w:cs="Times New Roman"/>
          <w:color w:val="000000"/>
          <w:sz w:val="22"/>
          <w:szCs w:val="22"/>
        </w:rPr>
        <w:t xml:space="preserve"> properties because of their effects in the central nervous system. These include, but are not limited to, codeine, morphine, hydromorphone, hydrocodone, oxycodone, methadone, and fentanyl.</w:t>
      </w:r>
    </w:p>
    <w:p w14:paraId="3727E7D4" w14:textId="77777777" w:rsidR="00FA04A1" w:rsidRDefault="00FA04A1">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eastAsia="Times New Roman" w:hAnsi="Times New Roman" w:cs="Times New Roman"/>
          <w:color w:val="000000"/>
          <w:sz w:val="22"/>
          <w:szCs w:val="22"/>
        </w:rPr>
      </w:pPr>
    </w:p>
    <w:p w14:paraId="10F589A2" w14:textId="7238DFB2" w:rsidR="00FA04A1" w:rsidRPr="00503D88" w:rsidRDefault="00C13F84">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720"/>
        <w:jc w:val="both"/>
        <w:rPr>
          <w:rFonts w:ascii="Times New Roman" w:eastAsia="Times New Roman" w:hAnsi="Times New Roman" w:cs="Times New Roman"/>
          <w:color w:val="000000"/>
          <w:sz w:val="22"/>
          <w:szCs w:val="22"/>
        </w:rPr>
      </w:pPr>
      <w:r w:rsidRPr="00503D88">
        <w:rPr>
          <w:rFonts w:ascii="Times New Roman" w:eastAsia="Times New Roman" w:hAnsi="Times New Roman" w:cs="Times New Roman"/>
          <w:color w:val="000000"/>
          <w:sz w:val="22"/>
          <w:szCs w:val="22"/>
        </w:rPr>
        <w:t xml:space="preserve">2.1.l.  "Pain-relieving controlled substance” means, but is not limited to, an opioid or other drug classified as a Schedule II through V controlled substance and recognized as effective for pain </w:t>
      </w:r>
      <w:r w:rsidR="008D0288" w:rsidRPr="00503D88">
        <w:rPr>
          <w:rFonts w:ascii="Times New Roman" w:eastAsia="Times New Roman" w:hAnsi="Times New Roman" w:cs="Times New Roman"/>
          <w:color w:val="000000"/>
          <w:sz w:val="22"/>
          <w:szCs w:val="22"/>
        </w:rPr>
        <w:t>relief and</w:t>
      </w:r>
      <w:r w:rsidRPr="00503D88">
        <w:rPr>
          <w:rFonts w:ascii="Times New Roman" w:eastAsia="Times New Roman" w:hAnsi="Times New Roman" w:cs="Times New Roman"/>
          <w:color w:val="000000"/>
          <w:sz w:val="22"/>
          <w:szCs w:val="22"/>
        </w:rPr>
        <w:t xml:space="preserve"> excludes any drug that has no accepted medical use in the United States or lacks accepted safety for use in treatment under medical supervision including, but not limited to, any drug classified as a Schedule </w:t>
      </w:r>
      <w:r w:rsidR="000F59B6" w:rsidRPr="00503D88">
        <w:rPr>
          <w:rFonts w:ascii="Times New Roman" w:eastAsia="Times New Roman" w:hAnsi="Times New Roman" w:cs="Times New Roman"/>
          <w:color w:val="000000"/>
          <w:sz w:val="22"/>
          <w:szCs w:val="22"/>
        </w:rPr>
        <w:t xml:space="preserve">I </w:t>
      </w:r>
      <w:r w:rsidRPr="00503D88">
        <w:rPr>
          <w:rFonts w:ascii="Times New Roman" w:eastAsia="Times New Roman" w:hAnsi="Times New Roman" w:cs="Times New Roman"/>
          <w:color w:val="000000"/>
          <w:sz w:val="22"/>
          <w:szCs w:val="22"/>
        </w:rPr>
        <w:t>controlled substance.</w:t>
      </w:r>
    </w:p>
    <w:p w14:paraId="36ADC89F" w14:textId="77777777" w:rsidR="00FA04A1" w:rsidRDefault="00FA04A1">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eastAsia="Times New Roman" w:hAnsi="Times New Roman" w:cs="Times New Roman"/>
          <w:color w:val="000000"/>
          <w:sz w:val="22"/>
          <w:szCs w:val="22"/>
        </w:rPr>
      </w:pPr>
    </w:p>
    <w:p w14:paraId="43F63B27" w14:textId="77777777" w:rsidR="00FA04A1" w:rsidRDefault="00C13F84">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720"/>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2.1.m.  "Patient” means a person presenting himself or herself for treatment who is not considered by the practitioner as suffering from a terminal illness.</w:t>
      </w:r>
    </w:p>
    <w:p w14:paraId="58481445" w14:textId="77777777" w:rsidR="00FA04A1" w:rsidRDefault="00FA04A1">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eastAsia="Times New Roman" w:hAnsi="Times New Roman" w:cs="Times New Roman"/>
          <w:color w:val="000000"/>
          <w:sz w:val="22"/>
          <w:szCs w:val="22"/>
        </w:rPr>
      </w:pPr>
    </w:p>
    <w:p w14:paraId="603E7162" w14:textId="77777777" w:rsidR="00FA04A1" w:rsidRDefault="00C13F84">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720"/>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2.1.n.  "Practitioner" means a registered professional nurse licensed pursuant to the provisions of The Nurse Practice Act W. Va. Code §30-7-1 et seq. who possesses a valid DEA registration identification. </w:t>
      </w:r>
    </w:p>
    <w:p w14:paraId="5690A008" w14:textId="77777777" w:rsidR="00FA04A1" w:rsidRDefault="00FA04A1">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eastAsia="Times New Roman" w:hAnsi="Times New Roman" w:cs="Times New Roman"/>
          <w:color w:val="000000"/>
          <w:sz w:val="22"/>
          <w:szCs w:val="22"/>
        </w:rPr>
      </w:pPr>
    </w:p>
    <w:p w14:paraId="05582E2C" w14:textId="6A347C55" w:rsidR="00FA04A1" w:rsidRDefault="00C13F84">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720"/>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2.1.o.  "Provision” means </w:t>
      </w:r>
      <w:r w:rsidR="008D0288">
        <w:rPr>
          <w:rFonts w:ascii="Times New Roman" w:eastAsia="Times New Roman" w:hAnsi="Times New Roman" w:cs="Times New Roman"/>
          <w:color w:val="000000"/>
          <w:sz w:val="22"/>
          <w:szCs w:val="22"/>
        </w:rPr>
        <w:t>prescribing or</w:t>
      </w:r>
      <w:r>
        <w:rPr>
          <w:rFonts w:ascii="Times New Roman" w:eastAsia="Times New Roman" w:hAnsi="Times New Roman" w:cs="Times New Roman"/>
          <w:color w:val="000000"/>
          <w:sz w:val="22"/>
          <w:szCs w:val="22"/>
        </w:rPr>
        <w:t xml:space="preserve"> administering.</w:t>
      </w:r>
    </w:p>
    <w:p w14:paraId="22F00A9A" w14:textId="77777777" w:rsidR="00FA04A1" w:rsidRDefault="00FA04A1">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eastAsia="Times New Roman" w:hAnsi="Times New Roman" w:cs="Times New Roman"/>
          <w:color w:val="000000"/>
          <w:sz w:val="22"/>
          <w:szCs w:val="22"/>
        </w:rPr>
      </w:pPr>
    </w:p>
    <w:p w14:paraId="6DD38DC2" w14:textId="77777777" w:rsidR="00FA04A1" w:rsidRDefault="00C13F84">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720"/>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2.1.p.  "Terminal illness” means an incurable or irreversible condition as diagnosed by the attending physician or a qualified physician for which the administration of life-prolonging intervention will serve only to prolong the dying process.</w:t>
      </w:r>
    </w:p>
    <w:p w14:paraId="67F2472E" w14:textId="77777777" w:rsidR="00FA04A1" w:rsidRDefault="00FA04A1">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eastAsia="Times New Roman" w:hAnsi="Times New Roman" w:cs="Times New Roman"/>
          <w:color w:val="000000"/>
          <w:sz w:val="22"/>
          <w:szCs w:val="22"/>
        </w:rPr>
      </w:pPr>
    </w:p>
    <w:p w14:paraId="54A1ABB7" w14:textId="77777777" w:rsidR="00FA04A1" w:rsidRDefault="00C13F84">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eastAsia="Times New Roman" w:hAnsi="Times New Roman" w:cs="Times New Roman"/>
          <w:b/>
          <w:bCs/>
          <w:color w:val="000000"/>
          <w:sz w:val="22"/>
          <w:szCs w:val="22"/>
        </w:rPr>
      </w:pPr>
      <w:r>
        <w:rPr>
          <w:rFonts w:ascii="Times New Roman" w:eastAsia="Times New Roman" w:hAnsi="Times New Roman" w:cs="Times New Roman"/>
          <w:b/>
          <w:bCs/>
          <w:color w:val="000000"/>
          <w:sz w:val="22"/>
          <w:szCs w:val="22"/>
        </w:rPr>
        <w:t xml:space="preserve">§19-14-3.  General Rules for Practitioners for Patients Not Suffering </w:t>
      </w:r>
      <w:proofErr w:type="gramStart"/>
      <w:r>
        <w:rPr>
          <w:rFonts w:ascii="Times New Roman" w:eastAsia="Times New Roman" w:hAnsi="Times New Roman" w:cs="Times New Roman"/>
          <w:b/>
          <w:bCs/>
          <w:color w:val="000000"/>
          <w:sz w:val="22"/>
          <w:szCs w:val="22"/>
        </w:rPr>
        <w:t>From</w:t>
      </w:r>
      <w:proofErr w:type="gramEnd"/>
      <w:r>
        <w:rPr>
          <w:rFonts w:ascii="Times New Roman" w:eastAsia="Times New Roman" w:hAnsi="Times New Roman" w:cs="Times New Roman"/>
          <w:b/>
          <w:bCs/>
          <w:color w:val="000000"/>
          <w:sz w:val="22"/>
          <w:szCs w:val="22"/>
        </w:rPr>
        <w:t xml:space="preserve"> a Terminal Illness.</w:t>
      </w:r>
    </w:p>
    <w:p w14:paraId="59457CEC" w14:textId="77777777" w:rsidR="00FA04A1" w:rsidRDefault="00FA04A1">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eastAsia="Times New Roman" w:hAnsi="Times New Roman" w:cs="Times New Roman"/>
          <w:b/>
          <w:bCs/>
          <w:color w:val="000000"/>
          <w:sz w:val="22"/>
          <w:szCs w:val="22"/>
        </w:rPr>
      </w:pPr>
    </w:p>
    <w:p w14:paraId="59D643B9" w14:textId="77777777" w:rsidR="00FA04A1" w:rsidRDefault="00C13F84">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360"/>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3.1.  Prior to the initial provision of any pain-relieving controlled substance as part of a course of treatment for chronic nonmalignant pain to any patient not considered by a practitioner to be suffering from a terminal illness, a practitioner shall apply for and receive capability to access the CSMP for purposes of compliance with this rule.</w:t>
      </w:r>
    </w:p>
    <w:p w14:paraId="0BF0EFD2" w14:textId="77777777" w:rsidR="00FA04A1" w:rsidRDefault="00FA04A1">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eastAsia="Times New Roman" w:hAnsi="Times New Roman" w:cs="Times New Roman"/>
          <w:color w:val="000000"/>
          <w:sz w:val="22"/>
          <w:szCs w:val="22"/>
        </w:rPr>
      </w:pPr>
    </w:p>
    <w:p w14:paraId="352CF613" w14:textId="77777777" w:rsidR="00FA04A1" w:rsidRDefault="00C13F84">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360"/>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3.2.  Prior to the initial provision of a pain-relieving controlled substance as part of a course of treatment for chronic nonmalignant pain to a patient not considered by the current practitioner to be suffering from a terminal illness, a current practitioner, or the practitioner’s authorized agent, is required to access the CSMP to determine whether the patient has obtained any controlled substance reported to the CSMP from any source other than the current practitioner within the 12 month period immediately preceding the visit of the patient to the current practitioner.</w:t>
      </w:r>
    </w:p>
    <w:p w14:paraId="18E905E1" w14:textId="77777777" w:rsidR="00FA04A1" w:rsidRDefault="00FA04A1">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eastAsia="Times New Roman" w:hAnsi="Times New Roman" w:cs="Times New Roman"/>
          <w:color w:val="000000"/>
          <w:sz w:val="22"/>
          <w:szCs w:val="22"/>
        </w:rPr>
      </w:pPr>
    </w:p>
    <w:p w14:paraId="3E934D73" w14:textId="77777777" w:rsidR="00FA04A1" w:rsidRDefault="00C13F84">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360"/>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3.3.  Upon accessing the CSMP prior to the initial provision of a pain-relieving controlled substance as part of a course of treatment for chronic nonmalignant pain, the access and any controlled substances reported to the CSMP within the 12 month period immediately preceding the visit of the patient shall be then promptly documented in the patient's medical record, with rationale for provision of the pain-relieving controlled substance by the current practitioner with a  paper or electronic copy of  the CSMP accessed report maintained in the patient medical record.  </w:t>
      </w:r>
    </w:p>
    <w:p w14:paraId="340EFDE9" w14:textId="77777777" w:rsidR="00FA04A1" w:rsidRDefault="00FA04A1">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eastAsia="Times New Roman" w:hAnsi="Times New Roman" w:cs="Times New Roman"/>
          <w:color w:val="000000"/>
          <w:sz w:val="22"/>
          <w:szCs w:val="22"/>
        </w:rPr>
      </w:pPr>
    </w:p>
    <w:p w14:paraId="3E2F91E9" w14:textId="77777777" w:rsidR="00FA04A1" w:rsidRDefault="00C13F84">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360"/>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3.4.  After the initial provision of a pain-relieving controlled substance as part of a course of treatment for chronic nonmalignant pain, should the patient continue as a patient with the current practitioner, and the current practitioner continues to provide pain-relieving controlled substances as part of a course of treatment for chronic, nonmalignant pain, the CSMP shall be accessed by the current practitioner, or the practitioner’s authorized agent, at least annually to determine whether the patient has obtained any controlled substances reported to the CSMP from any source other than the current practitioner within the 12 month period immediately preceding the access. The access and any controlled substances from any other source other than the current practitioner reported to the CSMP -within such 12 months immediately preceding the access shall be then promptly documented in the patient's medical record, with rationale for continuing provision of the pain-relieving substance by the current practitioner, with a paper or electronic copy of the CSMP accessed report maintained in the patient medical record.</w:t>
      </w:r>
    </w:p>
    <w:p w14:paraId="41FD6F50" w14:textId="77777777" w:rsidR="00FA04A1" w:rsidRDefault="00FA04A1">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eastAsia="Times New Roman" w:hAnsi="Times New Roman" w:cs="Times New Roman"/>
          <w:color w:val="000000"/>
          <w:sz w:val="22"/>
          <w:szCs w:val="22"/>
        </w:rPr>
      </w:pPr>
    </w:p>
    <w:p w14:paraId="32A41778" w14:textId="77777777" w:rsidR="00FA04A1" w:rsidRDefault="00C13F84">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360"/>
        <w:jc w:val="both"/>
        <w:rPr>
          <w:rFonts w:hint="eastAsia"/>
        </w:rPr>
      </w:pPr>
      <w:r>
        <w:rPr>
          <w:rFonts w:ascii="Times New Roman" w:eastAsia="Times New Roman" w:hAnsi="Times New Roman" w:cs="Times New Roman"/>
          <w:color w:val="000000"/>
          <w:sz w:val="22"/>
          <w:szCs w:val="22"/>
        </w:rPr>
        <w:t>3.5.  Nothing herein prohibits the CSMP from being accessed for  a specific patient more frequently than annually by the current practitioner, or the practitioner’s authorized agent;</w:t>
      </w:r>
      <w:r w:rsidRPr="00C0070C">
        <w:rPr>
          <w:rFonts w:ascii="Times New Roman" w:eastAsia="Times New Roman" w:hAnsi="Times New Roman" w:cs="Times New Roman"/>
          <w:color w:val="000000"/>
          <w:sz w:val="22"/>
          <w:szCs w:val="22"/>
        </w:rPr>
        <w:t xml:space="preserve"> </w:t>
      </w:r>
      <w:r>
        <w:rPr>
          <w:rFonts w:ascii="Times New Roman" w:eastAsia="Times New Roman" w:hAnsi="Times New Roman" w:cs="Times New Roman"/>
          <w:color w:val="000000"/>
          <w:sz w:val="22"/>
          <w:szCs w:val="22"/>
        </w:rPr>
        <w:t>however, upon any such additional access of the CSMP, controlled substances reported to the CSMP from any source other than the current practitioner shall be promptly documented in the patient's medical record, with rationale for provision of the pain-relieving controlled substance by the current practitioner, with a paper or electronic copy of the CSMP accessed report maintained in the patient medical record.</w:t>
      </w:r>
    </w:p>
    <w:p w14:paraId="5C253467" w14:textId="77777777" w:rsidR="00FA04A1" w:rsidRDefault="00FA04A1">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eastAsia="Times New Roman" w:hAnsi="Times New Roman" w:cs="Times New Roman"/>
          <w:color w:val="000000"/>
          <w:sz w:val="22"/>
          <w:szCs w:val="22"/>
        </w:rPr>
      </w:pPr>
    </w:p>
    <w:p w14:paraId="1A583D25" w14:textId="77777777" w:rsidR="00FA04A1" w:rsidRDefault="00C13F84">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360"/>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3.6.  Accessing the CSMP must occur prior to the provision of the controlled substance Provided, that if there is an equipment failure, electricity outage or other disaster or event that renders review of the CSMP impossible prior to provision of the required controlled substances and it is determined by the practitioner that providing a controlled substance is medically necessary, this determination of medical necessity shall be documented in the medical record and the controlled substance may be provided in a limited amount.  The circumstances preventing the access to the CSMP prior to provision of the controlled substance shall be documented in the patient’s medical record, and immediately upon having access restored the CSMP report shall be accessed, documented as described in this rule and the practitioner shall adjust patient care as needed.</w:t>
      </w:r>
    </w:p>
    <w:p w14:paraId="462E733B" w14:textId="77777777" w:rsidR="00FA04A1" w:rsidRDefault="00FA04A1">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eastAsia="Times New Roman" w:hAnsi="Times New Roman" w:cs="Times New Roman"/>
          <w:color w:val="000000"/>
          <w:sz w:val="22"/>
          <w:szCs w:val="22"/>
        </w:rPr>
      </w:pPr>
    </w:p>
    <w:p w14:paraId="7F078083" w14:textId="77777777" w:rsidR="00FA04A1" w:rsidRDefault="00C13F84">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eastAsia="Times New Roman" w:hAnsi="Times New Roman" w:cs="Times New Roman"/>
          <w:b/>
          <w:bCs/>
          <w:color w:val="000000"/>
          <w:sz w:val="22"/>
          <w:szCs w:val="22"/>
        </w:rPr>
      </w:pPr>
      <w:r>
        <w:rPr>
          <w:rFonts w:ascii="Times New Roman" w:eastAsia="Times New Roman" w:hAnsi="Times New Roman" w:cs="Times New Roman"/>
          <w:b/>
          <w:bCs/>
          <w:color w:val="000000"/>
          <w:sz w:val="22"/>
          <w:szCs w:val="22"/>
        </w:rPr>
        <w:t>§19-14-4.  Other Legal Authority.</w:t>
      </w:r>
    </w:p>
    <w:p w14:paraId="5DDA18E0" w14:textId="77777777" w:rsidR="00FA04A1" w:rsidRDefault="00FA04A1">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eastAsia="Times New Roman" w:hAnsi="Times New Roman" w:cs="Times New Roman"/>
          <w:b/>
          <w:bCs/>
          <w:color w:val="000000"/>
          <w:sz w:val="22"/>
          <w:szCs w:val="22"/>
        </w:rPr>
      </w:pPr>
    </w:p>
    <w:p w14:paraId="12F929D0" w14:textId="77777777" w:rsidR="00FA04A1" w:rsidRDefault="00C13F84">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360"/>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4.1.  Practitioners shall comply with all other applicable federal and state laws, rules, and regulations.</w:t>
      </w:r>
    </w:p>
    <w:p w14:paraId="7BC5BB45" w14:textId="77777777" w:rsidR="00FA04A1" w:rsidRDefault="00FA04A1">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eastAsia="Times New Roman" w:hAnsi="Times New Roman" w:cs="Times New Roman"/>
          <w:color w:val="000000"/>
          <w:sz w:val="22"/>
          <w:szCs w:val="22"/>
        </w:rPr>
      </w:pPr>
    </w:p>
    <w:p w14:paraId="6BAE346F" w14:textId="77777777" w:rsidR="00FA04A1" w:rsidRDefault="00C13F84">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eastAsia="Times New Roman" w:hAnsi="Times New Roman" w:cs="Times New Roman"/>
          <w:b/>
          <w:bCs/>
          <w:color w:val="000000"/>
          <w:sz w:val="22"/>
          <w:szCs w:val="22"/>
        </w:rPr>
      </w:pPr>
      <w:r>
        <w:rPr>
          <w:rFonts w:ascii="Times New Roman" w:eastAsia="Times New Roman" w:hAnsi="Times New Roman" w:cs="Times New Roman"/>
          <w:b/>
          <w:bCs/>
          <w:color w:val="000000"/>
          <w:sz w:val="22"/>
          <w:szCs w:val="22"/>
        </w:rPr>
        <w:lastRenderedPageBreak/>
        <w:t>§19-14-5.  Discipline.</w:t>
      </w:r>
    </w:p>
    <w:p w14:paraId="151E7598" w14:textId="77777777" w:rsidR="00FA04A1" w:rsidRDefault="00FA04A1">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eastAsia="Times New Roman" w:hAnsi="Times New Roman" w:cs="Times New Roman"/>
          <w:b/>
          <w:bCs/>
          <w:color w:val="000000"/>
          <w:sz w:val="22"/>
          <w:szCs w:val="22"/>
        </w:rPr>
      </w:pPr>
    </w:p>
    <w:p w14:paraId="4C921804" w14:textId="77777777" w:rsidR="00FA04A1" w:rsidRDefault="00C13F84">
      <w:pPr>
        <w:tabs>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360"/>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5.1.  Any practitioner who fails to comply with this rule 19CSR14 is subject to board disciplinary proceedings for failing to perform any statutory or legal obligation placed upon the practitioner and unprofessional, unethical, and dishonorable conduct, pursuant to W. Va. Code §30-7-11 and 19CSR3.</w:t>
      </w:r>
    </w:p>
    <w:sectPr w:rsidR="00FA04A1">
      <w:headerReference w:type="default" r:id="rId6"/>
      <w:footerReference w:type="default" r:id="rId7"/>
      <w:pgSz w:w="12240" w:h="15840"/>
      <w:pgMar w:top="1182" w:right="1440" w:bottom="1003" w:left="1440" w:header="720" w:footer="720" w:gutter="0"/>
      <w:cols w:space="720"/>
      <w:formProt w:val="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B5A3BB" w14:textId="77777777" w:rsidR="00C972A8" w:rsidRDefault="00C972A8">
      <w:pPr>
        <w:rPr>
          <w:rFonts w:hint="eastAsia"/>
        </w:rPr>
      </w:pPr>
      <w:r>
        <w:separator/>
      </w:r>
    </w:p>
  </w:endnote>
  <w:endnote w:type="continuationSeparator" w:id="0">
    <w:p w14:paraId="6E9E80C6" w14:textId="77777777" w:rsidR="00C972A8" w:rsidRDefault="00C972A8">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erif">
    <w:altName w:val="Times New Roman"/>
    <w:charset w:val="00"/>
    <w:family w:val="roman"/>
    <w:pitch w:val="variable"/>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F56D4D" w14:textId="77777777" w:rsidR="00FA04A1" w:rsidRDefault="00C13F84">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fldChar w:fldCharType="begin"/>
    </w:r>
    <w:r>
      <w:rPr>
        <w:rFonts w:ascii="Times New Roman" w:eastAsia="Times New Roman" w:hAnsi="Times New Roman" w:cs="Times New Roman"/>
        <w:sz w:val="20"/>
        <w:szCs w:val="20"/>
      </w:rPr>
      <w:instrText xml:space="preserve"> PAGE \* ARABIC </w:instrText>
    </w:r>
    <w:r>
      <w:rPr>
        <w:rFonts w:ascii="Times New Roman" w:eastAsia="Times New Roman" w:hAnsi="Times New Roman" w:cs="Times New Roman"/>
        <w:sz w:val="20"/>
        <w:szCs w:val="20"/>
      </w:rPr>
      <w:fldChar w:fldCharType="separate"/>
    </w:r>
    <w:r>
      <w:rPr>
        <w:rFonts w:ascii="Times New Roman" w:eastAsia="Times New Roman" w:hAnsi="Times New Roman" w:cs="Times New Roman"/>
        <w:sz w:val="20"/>
        <w:szCs w:val="20"/>
      </w:rPr>
      <w:t>3</w:t>
    </w:r>
    <w:r>
      <w:rPr>
        <w:rFonts w:ascii="Times New Roman" w:eastAsia="Times New Roman" w:hAnsi="Times New Roman" w:cs="Times New Roman"/>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6A3F06" w14:textId="77777777" w:rsidR="00C972A8" w:rsidRDefault="00C972A8">
      <w:pPr>
        <w:rPr>
          <w:rFonts w:hint="eastAsia"/>
        </w:rPr>
      </w:pPr>
      <w:r>
        <w:separator/>
      </w:r>
    </w:p>
  </w:footnote>
  <w:footnote w:type="continuationSeparator" w:id="0">
    <w:p w14:paraId="696C3D9F" w14:textId="77777777" w:rsidR="00C972A8" w:rsidRDefault="00C972A8">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CBF3D9" w14:textId="77777777" w:rsidR="00FA04A1" w:rsidRDefault="00C13F84">
    <w:pPr>
      <w:jc w:val="center"/>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19CSR14</w:t>
    </w:r>
  </w:p>
  <w:p w14:paraId="11568B60" w14:textId="77777777" w:rsidR="00FA04A1" w:rsidRDefault="00FA04A1">
    <w:pPr>
      <w:rPr>
        <w:rFonts w:ascii="Times New Roman" w:eastAsia="Times New Roman" w:hAnsi="Times New Roman" w:cs="Times New Roman"/>
        <w:b/>
        <w:bCs/>
        <w:color w:val="000000"/>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04A1"/>
    <w:rsid w:val="00000F45"/>
    <w:rsid w:val="00046F13"/>
    <w:rsid w:val="000F59B6"/>
    <w:rsid w:val="0016019D"/>
    <w:rsid w:val="001C64A1"/>
    <w:rsid w:val="001C6837"/>
    <w:rsid w:val="00244423"/>
    <w:rsid w:val="00281D2A"/>
    <w:rsid w:val="003235E9"/>
    <w:rsid w:val="00346815"/>
    <w:rsid w:val="004900BE"/>
    <w:rsid w:val="004A2441"/>
    <w:rsid w:val="00503D88"/>
    <w:rsid w:val="00667A5E"/>
    <w:rsid w:val="006D3545"/>
    <w:rsid w:val="007227D4"/>
    <w:rsid w:val="007A7313"/>
    <w:rsid w:val="008764EC"/>
    <w:rsid w:val="008810A6"/>
    <w:rsid w:val="008D0288"/>
    <w:rsid w:val="009B5C93"/>
    <w:rsid w:val="009D5B26"/>
    <w:rsid w:val="00A02607"/>
    <w:rsid w:val="00A74033"/>
    <w:rsid w:val="00AF6A94"/>
    <w:rsid w:val="00B80809"/>
    <w:rsid w:val="00C0070C"/>
    <w:rsid w:val="00C0285F"/>
    <w:rsid w:val="00C13F84"/>
    <w:rsid w:val="00C2497A"/>
    <w:rsid w:val="00C322E5"/>
    <w:rsid w:val="00C972A8"/>
    <w:rsid w:val="00CF1B16"/>
    <w:rsid w:val="00D0320C"/>
    <w:rsid w:val="00D47061"/>
    <w:rsid w:val="00DB4F37"/>
    <w:rsid w:val="00DB50B4"/>
    <w:rsid w:val="00E343D5"/>
    <w:rsid w:val="00E826CE"/>
    <w:rsid w:val="00F0245B"/>
    <w:rsid w:val="00F362F1"/>
    <w:rsid w:val="00F97B8A"/>
    <w:rsid w:val="00FA04A1"/>
    <w:rsid w:val="00FB5D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CD7FD4"/>
  <w15:docId w15:val="{4DE07018-6F27-4CF6-B111-3AEE352C6D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NSimSun" w:hAnsi="Liberation Serif" w:cs="Lucida Sans"/>
        <w:kern w:val="2"/>
        <w:sz w:val="24"/>
        <w:szCs w:val="24"/>
        <w:lang w:val="en-U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noteSymbol">
    <w:name w:val="Footnote_Symbol"/>
    <w:qFormat/>
    <w:rPr>
      <w:vertAlign w:val="superscript"/>
    </w:rPr>
  </w:style>
  <w:style w:type="character" w:customStyle="1" w:styleId="EndnoteSymbol">
    <w:name w:val="Endnote_Symbol"/>
    <w:qFormat/>
    <w:rPr>
      <w:vertAlign w:val="superscript"/>
    </w:rPr>
  </w:style>
  <w:style w:type="character" w:customStyle="1" w:styleId="Footnoteanchor">
    <w:name w:val="Footnote_anchor"/>
    <w:rPr>
      <w:vertAlign w:val="superscript"/>
    </w:rPr>
  </w:style>
  <w:style w:type="character" w:customStyle="1" w:styleId="Endnoteanchor">
    <w:name w:val="Endnote_anchor"/>
    <w:rPr>
      <w:vertAlign w:val="superscript"/>
    </w:rPr>
  </w:style>
  <w:style w:type="character" w:customStyle="1" w:styleId="FootnoteAnchor0">
    <w:name w:val="Footnote Anchor"/>
    <w:qFormat/>
    <w:rPr>
      <w:vertAlign w:val="superscript"/>
    </w:rPr>
  </w:style>
  <w:style w:type="character" w:customStyle="1" w:styleId="EndnoteAnchor0">
    <w:name w:val="Endnote Anchor"/>
    <w:qFormat/>
    <w:rPr>
      <w:vertAlign w:val="superscript"/>
    </w:rPr>
  </w:style>
  <w:style w:type="paragraph" w:customStyle="1" w:styleId="Heading">
    <w:name w:val="Heading"/>
    <w:basedOn w:val="Normal"/>
    <w:next w:val="BodyText"/>
    <w:qFormat/>
    <w:pPr>
      <w:keepNext/>
      <w:spacing w:before="240" w:after="120"/>
    </w:pPr>
    <w:rPr>
      <w:rFonts w:ascii="Liberation Sans" w:eastAsia="Microsoft YaHei" w:hAnsi="Liberation Sans"/>
      <w:sz w:val="28"/>
      <w:szCs w:val="28"/>
    </w:rPr>
  </w:style>
  <w:style w:type="paragraph" w:styleId="BodyText">
    <w:name w:val="Body Text"/>
    <w:basedOn w:val="Normal"/>
  </w:style>
  <w:style w:type="paragraph" w:styleId="List">
    <w:name w:val="List"/>
    <w:basedOn w:val="BodyText"/>
  </w:style>
  <w:style w:type="paragraph" w:styleId="Caption">
    <w:name w:val="caption"/>
    <w:basedOn w:val="Normal"/>
    <w:qFormat/>
  </w:style>
  <w:style w:type="paragraph" w:customStyle="1" w:styleId="Index">
    <w:name w:val="Index"/>
    <w:basedOn w:val="Normal"/>
    <w:qFormat/>
  </w:style>
  <w:style w:type="paragraph" w:customStyle="1" w:styleId="TableContents">
    <w:name w:val="Table Contents"/>
    <w:basedOn w:val="BodyText"/>
    <w:qFormat/>
  </w:style>
  <w:style w:type="paragraph" w:customStyle="1" w:styleId="TableHeading">
    <w:name w:val="Table Heading"/>
    <w:basedOn w:val="TableContents"/>
    <w:qFormat/>
  </w:style>
  <w:style w:type="paragraph" w:customStyle="1" w:styleId="HeaderandFooter">
    <w:name w:val="Header and Footer"/>
    <w:basedOn w:val="Normal"/>
    <w:qFormat/>
    <w:pPr>
      <w:suppressLineNumbers/>
      <w:tabs>
        <w:tab w:val="center" w:pos="4986"/>
        <w:tab w:val="right" w:pos="9972"/>
      </w:tabs>
    </w:pPr>
  </w:style>
  <w:style w:type="paragraph" w:styleId="Header">
    <w:name w:val="header"/>
    <w:basedOn w:val="Normal"/>
  </w:style>
  <w:style w:type="paragraph" w:styleId="Footer">
    <w:name w:val="footer"/>
    <w:basedOn w:val="Normal"/>
  </w:style>
  <w:style w:type="paragraph" w:styleId="FootnoteText">
    <w:name w:val="footnote text"/>
    <w:basedOn w:val="Normal"/>
  </w:style>
  <w:style w:type="paragraph" w:styleId="EndnoteText">
    <w:name w:val="endnote text"/>
    <w:basedOn w:val="Normal"/>
  </w:style>
  <w:style w:type="character" w:styleId="Emphasis">
    <w:name w:val="Emphasis"/>
    <w:basedOn w:val="DefaultParagraphFont"/>
    <w:uiPriority w:val="20"/>
    <w:qFormat/>
    <w:rsid w:val="006D354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TotalTime>
  <Pages>4</Pages>
  <Words>1650</Words>
  <Characters>9409</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dc:creator>
  <dc:description/>
  <cp:lastModifiedBy>Payne, Michael D</cp:lastModifiedBy>
  <cp:revision>12</cp:revision>
  <dcterms:created xsi:type="dcterms:W3CDTF">2023-04-05T12:26:00Z</dcterms:created>
  <dcterms:modified xsi:type="dcterms:W3CDTF">2023-04-18T19:28:00Z</dcterms:modified>
  <dc:language>en-US</dc:language>
</cp:coreProperties>
</file>