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AFEF9"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E81DE1">
        <w:rPr>
          <w:rFonts w:eastAsia="PMingLiU"/>
          <w:b/>
          <w:bCs/>
          <w:sz w:val="22"/>
          <w:szCs w:val="22"/>
        </w:rPr>
        <w:t>TITLE 87</w:t>
      </w:r>
    </w:p>
    <w:p w14:paraId="0D5477A4"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E81DE1">
        <w:rPr>
          <w:rFonts w:eastAsia="PMingLiU"/>
          <w:b/>
          <w:bCs/>
          <w:sz w:val="22"/>
          <w:szCs w:val="22"/>
        </w:rPr>
        <w:t>LEGISLATIVE RULE</w:t>
      </w:r>
    </w:p>
    <w:p w14:paraId="7C7E989B"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E81DE1">
        <w:rPr>
          <w:rFonts w:eastAsia="PMingLiU"/>
          <w:b/>
          <w:bCs/>
          <w:sz w:val="22"/>
          <w:szCs w:val="22"/>
        </w:rPr>
        <w:t>STATE FIRE COMMISSION</w:t>
      </w:r>
    </w:p>
    <w:p w14:paraId="1FB15DD5"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p>
    <w:p w14:paraId="72698107"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E81DE1">
        <w:rPr>
          <w:rFonts w:eastAsia="PMingLiU"/>
          <w:b/>
          <w:bCs/>
          <w:sz w:val="22"/>
          <w:szCs w:val="22"/>
        </w:rPr>
        <w:t>SERIES 4</w:t>
      </w:r>
    </w:p>
    <w:p w14:paraId="5487E2C7"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E81DE1">
        <w:rPr>
          <w:rFonts w:eastAsia="PMingLiU"/>
          <w:b/>
          <w:bCs/>
          <w:sz w:val="22"/>
          <w:szCs w:val="22"/>
        </w:rPr>
        <w:t>STATE BUILDING CODE</w:t>
      </w:r>
    </w:p>
    <w:p w14:paraId="7C13C23B"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sz w:val="22"/>
          <w:szCs w:val="22"/>
        </w:rPr>
      </w:pPr>
    </w:p>
    <w:p w14:paraId="1D0F5EC0"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sz w:val="22"/>
          <w:szCs w:val="22"/>
        </w:rPr>
      </w:pPr>
    </w:p>
    <w:p w14:paraId="71B2B567"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E81DE1">
        <w:rPr>
          <w:rFonts w:eastAsia="PMingLiU"/>
          <w:b/>
          <w:bCs/>
          <w:sz w:val="22"/>
          <w:szCs w:val="22"/>
        </w:rPr>
        <w:t>§87-4-1.  General.</w:t>
      </w:r>
    </w:p>
    <w:p w14:paraId="6FE61F76"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A51D332" w14:textId="7116D3B7" w:rsidR="00511F20"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1.1.  Scope.  --  This rule establishes the standards considered necessary by the State Fire Commission for the safeguarding of life and property and to ensure compliance with the minimum standards of safe construction of all structures erected or renovated throughout this state.</w:t>
      </w:r>
    </w:p>
    <w:p w14:paraId="60202391"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C015BEC" w14:textId="13C5140F" w:rsidR="00511F20" w:rsidRPr="00E81DE1" w:rsidRDefault="003D1A50" w:rsidP="003D1A50">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Times New Roman"/>
          <w:sz w:val="22"/>
          <w:szCs w:val="22"/>
        </w:rPr>
      </w:pPr>
      <w:r>
        <w:rPr>
          <w:rFonts w:eastAsia="PMingLiU"/>
          <w:sz w:val="22"/>
          <w:szCs w:val="22"/>
        </w:rPr>
        <w:tab/>
      </w:r>
      <w:r w:rsidR="00511F20" w:rsidRPr="00E81DE1">
        <w:rPr>
          <w:rFonts w:eastAsia="PMingLiU"/>
          <w:sz w:val="22"/>
          <w:szCs w:val="22"/>
        </w:rPr>
        <w:t xml:space="preserve">1.2.  Authority.  -- W. Va. Code </w:t>
      </w:r>
      <w:r w:rsidR="00184FBF" w:rsidRPr="00E81DE1">
        <w:rPr>
          <w:rFonts w:eastAsia="Times New Roman"/>
          <w:sz w:val="22"/>
          <w:szCs w:val="22"/>
        </w:rPr>
        <w:t>§15A-11-</w:t>
      </w:r>
      <w:r w:rsidR="00C27A8E">
        <w:rPr>
          <w:rFonts w:eastAsia="Times New Roman"/>
          <w:sz w:val="22"/>
          <w:szCs w:val="22"/>
        </w:rPr>
        <w:t>5</w:t>
      </w:r>
      <w:r w:rsidR="00184FBF" w:rsidRPr="00E81DE1">
        <w:rPr>
          <w:rFonts w:eastAsia="Times New Roman"/>
          <w:sz w:val="22"/>
          <w:szCs w:val="22"/>
        </w:rPr>
        <w:t>.</w:t>
      </w:r>
    </w:p>
    <w:p w14:paraId="6B305C4D"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5477196" w14:textId="0A9F519A" w:rsidR="003D7DDD"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 xml:space="preserve">1.3.  Filing Date.  </w:t>
      </w:r>
      <w:r w:rsidR="00AA1616" w:rsidRPr="00E81DE1">
        <w:rPr>
          <w:rFonts w:eastAsia="PMingLiU"/>
          <w:sz w:val="22"/>
          <w:szCs w:val="22"/>
        </w:rPr>
        <w:t>--</w:t>
      </w:r>
      <w:r w:rsidR="00184FBF" w:rsidRPr="00E81DE1">
        <w:rPr>
          <w:rFonts w:eastAsia="PMingLiU"/>
          <w:sz w:val="22"/>
          <w:szCs w:val="22"/>
        </w:rPr>
        <w:t xml:space="preserve">  </w:t>
      </w:r>
      <w:r w:rsidR="00184FBF" w:rsidRPr="001F7008">
        <w:rPr>
          <w:rFonts w:eastAsia="PMingLiU"/>
          <w:sz w:val="22"/>
          <w:szCs w:val="22"/>
        </w:rPr>
        <w:t>May 5, 202</w:t>
      </w:r>
      <w:r w:rsidR="001F7008">
        <w:rPr>
          <w:rFonts w:eastAsia="PMingLiU"/>
          <w:sz w:val="22"/>
          <w:szCs w:val="22"/>
        </w:rPr>
        <w:t>2</w:t>
      </w:r>
      <w:r w:rsidR="00184FBF" w:rsidRPr="00E81DE1">
        <w:rPr>
          <w:rFonts w:eastAsia="PMingLiU"/>
          <w:sz w:val="22"/>
          <w:szCs w:val="22"/>
        </w:rPr>
        <w:t>.</w:t>
      </w:r>
    </w:p>
    <w:p w14:paraId="29C223F7" w14:textId="77777777" w:rsidR="00870603" w:rsidRPr="00E81DE1" w:rsidRDefault="00870603" w:rsidP="007475A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0DD4F45" w14:textId="1D0A45BB" w:rsidR="003D7DDD"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trike/>
          <w:sz w:val="22"/>
          <w:szCs w:val="22"/>
        </w:rPr>
      </w:pPr>
      <w:r>
        <w:rPr>
          <w:rFonts w:eastAsia="PMingLiU"/>
          <w:sz w:val="22"/>
          <w:szCs w:val="22"/>
        </w:rPr>
        <w:tab/>
      </w:r>
      <w:r w:rsidR="003D7DDD" w:rsidRPr="00E81DE1">
        <w:rPr>
          <w:rFonts w:eastAsia="PMingLiU"/>
          <w:sz w:val="22"/>
          <w:szCs w:val="22"/>
        </w:rPr>
        <w:t>1.4.  Effective Date.</w:t>
      </w:r>
      <w:r w:rsidR="007475A9">
        <w:rPr>
          <w:rFonts w:eastAsia="PMingLiU"/>
          <w:sz w:val="22"/>
          <w:szCs w:val="22"/>
        </w:rPr>
        <w:t xml:space="preserve"> </w:t>
      </w:r>
      <w:r w:rsidR="003D7DDD" w:rsidRPr="00E81DE1">
        <w:rPr>
          <w:rFonts w:eastAsia="PMingLiU"/>
          <w:sz w:val="22"/>
          <w:szCs w:val="22"/>
        </w:rPr>
        <w:t xml:space="preserve"> </w:t>
      </w:r>
      <w:r w:rsidR="00184FBF" w:rsidRPr="00E81DE1">
        <w:rPr>
          <w:rFonts w:eastAsia="PMingLiU"/>
          <w:sz w:val="22"/>
          <w:szCs w:val="22"/>
        </w:rPr>
        <w:t>–</w:t>
      </w:r>
      <w:r w:rsidR="003D7DDD" w:rsidRPr="00E81DE1">
        <w:rPr>
          <w:rFonts w:eastAsia="PMingLiU"/>
          <w:sz w:val="22"/>
          <w:szCs w:val="22"/>
        </w:rPr>
        <w:t xml:space="preserve"> </w:t>
      </w:r>
      <w:r w:rsidR="007475A9">
        <w:rPr>
          <w:rFonts w:eastAsia="PMingLiU"/>
          <w:sz w:val="22"/>
          <w:szCs w:val="22"/>
        </w:rPr>
        <w:t xml:space="preserve"> </w:t>
      </w:r>
      <w:r w:rsidR="00184FBF" w:rsidRPr="001F7008">
        <w:rPr>
          <w:rFonts w:eastAsia="PMingLiU"/>
          <w:sz w:val="22"/>
          <w:szCs w:val="22"/>
        </w:rPr>
        <w:t>August 1, 202</w:t>
      </w:r>
      <w:r w:rsidR="001F7008" w:rsidRPr="001F7008">
        <w:rPr>
          <w:rFonts w:eastAsia="PMingLiU"/>
          <w:sz w:val="22"/>
          <w:szCs w:val="22"/>
        </w:rPr>
        <w:t>2</w:t>
      </w:r>
      <w:r w:rsidR="00184FBF" w:rsidRPr="00E81DE1">
        <w:rPr>
          <w:rFonts w:eastAsia="PMingLiU"/>
          <w:sz w:val="22"/>
          <w:szCs w:val="22"/>
        </w:rPr>
        <w:t>.</w:t>
      </w:r>
    </w:p>
    <w:p w14:paraId="75370AB7" w14:textId="77777777" w:rsidR="003D7DDD" w:rsidRPr="00E81DE1" w:rsidRDefault="003D7DDD" w:rsidP="007475A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BA30A09" w14:textId="2E21E709" w:rsidR="00511F20"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z w:val="22"/>
          <w:szCs w:val="22"/>
        </w:rPr>
      </w:pPr>
      <w:r>
        <w:rPr>
          <w:rFonts w:eastAsia="PMingLiU"/>
          <w:sz w:val="22"/>
          <w:szCs w:val="22"/>
        </w:rPr>
        <w:tab/>
      </w:r>
      <w:r w:rsidR="00511F20" w:rsidRPr="00E81DE1">
        <w:rPr>
          <w:rFonts w:eastAsia="PMingLiU"/>
          <w:sz w:val="22"/>
          <w:szCs w:val="22"/>
        </w:rPr>
        <w:t xml:space="preserve">1.5.  </w:t>
      </w:r>
      <w:r w:rsidR="00240543" w:rsidRPr="00E81DE1">
        <w:rPr>
          <w:rFonts w:eastAsia="PMingLiU"/>
          <w:sz w:val="22"/>
          <w:szCs w:val="22"/>
        </w:rPr>
        <w:t>S</w:t>
      </w:r>
      <w:r w:rsidR="00240543" w:rsidRPr="00E81DE1">
        <w:rPr>
          <w:sz w:val="22"/>
          <w:szCs w:val="22"/>
        </w:rPr>
        <w:t>unset Provision.</w:t>
      </w:r>
      <w:r w:rsidR="007475A9">
        <w:rPr>
          <w:sz w:val="22"/>
          <w:szCs w:val="22"/>
        </w:rPr>
        <w:t xml:space="preserve"> </w:t>
      </w:r>
      <w:r w:rsidR="00240543" w:rsidRPr="00E81DE1">
        <w:rPr>
          <w:sz w:val="22"/>
          <w:szCs w:val="22"/>
        </w:rPr>
        <w:t xml:space="preserve"> -- </w:t>
      </w:r>
      <w:r w:rsidR="007475A9">
        <w:rPr>
          <w:sz w:val="22"/>
          <w:szCs w:val="22"/>
        </w:rPr>
        <w:t xml:space="preserve"> </w:t>
      </w:r>
      <w:r w:rsidR="00240543" w:rsidRPr="00E81DE1">
        <w:rPr>
          <w:sz w:val="22"/>
          <w:szCs w:val="22"/>
        </w:rPr>
        <w:t xml:space="preserve">This rule shall terminate and have no further force or effect </w:t>
      </w:r>
      <w:r w:rsidR="006E782F" w:rsidRPr="001F7008">
        <w:rPr>
          <w:sz w:val="22"/>
          <w:szCs w:val="22"/>
        </w:rPr>
        <w:t xml:space="preserve">on </w:t>
      </w:r>
      <w:r w:rsidR="00184FBF" w:rsidRPr="001F7008">
        <w:rPr>
          <w:sz w:val="22"/>
          <w:szCs w:val="22"/>
        </w:rPr>
        <w:t>August 1, 202</w:t>
      </w:r>
      <w:r w:rsidR="001F7008">
        <w:rPr>
          <w:sz w:val="22"/>
          <w:szCs w:val="22"/>
        </w:rPr>
        <w:t>7</w:t>
      </w:r>
      <w:r w:rsidR="00240543" w:rsidRPr="00E81DE1">
        <w:rPr>
          <w:sz w:val="22"/>
          <w:szCs w:val="22"/>
        </w:rPr>
        <w:t>.</w:t>
      </w:r>
    </w:p>
    <w:p w14:paraId="753248E1" w14:textId="42B7CFAD" w:rsidR="00E45959" w:rsidRPr="00E81DE1" w:rsidRDefault="00E45959" w:rsidP="007475A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z w:val="22"/>
          <w:szCs w:val="22"/>
        </w:rPr>
      </w:pPr>
    </w:p>
    <w:p w14:paraId="4726A497" w14:textId="21716691" w:rsidR="00E45959" w:rsidRPr="001F7008"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sz w:val="22"/>
          <w:szCs w:val="22"/>
        </w:rPr>
        <w:tab/>
      </w:r>
      <w:r w:rsidR="00E45959" w:rsidRPr="001F7008">
        <w:rPr>
          <w:sz w:val="22"/>
          <w:szCs w:val="22"/>
        </w:rPr>
        <w:t>1.6.  Exemptions.</w:t>
      </w:r>
      <w:r w:rsidR="007475A9">
        <w:rPr>
          <w:sz w:val="22"/>
          <w:szCs w:val="22"/>
        </w:rPr>
        <w:t xml:space="preserve"> </w:t>
      </w:r>
      <w:r w:rsidR="00E45959" w:rsidRPr="001F7008">
        <w:rPr>
          <w:sz w:val="22"/>
          <w:szCs w:val="22"/>
        </w:rPr>
        <w:t xml:space="preserve"> </w:t>
      </w:r>
      <w:r w:rsidR="002357DA">
        <w:rPr>
          <w:sz w:val="22"/>
          <w:szCs w:val="22"/>
        </w:rPr>
        <w:t>--</w:t>
      </w:r>
      <w:r w:rsidR="00E45959" w:rsidRPr="001F7008">
        <w:rPr>
          <w:sz w:val="22"/>
          <w:szCs w:val="22"/>
        </w:rPr>
        <w:t xml:space="preserve"> </w:t>
      </w:r>
      <w:r w:rsidR="007475A9">
        <w:rPr>
          <w:sz w:val="22"/>
          <w:szCs w:val="22"/>
        </w:rPr>
        <w:t xml:space="preserve"> </w:t>
      </w:r>
      <w:r w:rsidR="00E45959" w:rsidRPr="001F7008">
        <w:rPr>
          <w:sz w:val="22"/>
          <w:szCs w:val="22"/>
        </w:rPr>
        <w:t xml:space="preserve">The State Building Code has no application to </w:t>
      </w:r>
      <w:r w:rsidR="00497999" w:rsidRPr="001F7008">
        <w:rPr>
          <w:sz w:val="22"/>
          <w:szCs w:val="22"/>
        </w:rPr>
        <w:t xml:space="preserve">buildings or </w:t>
      </w:r>
      <w:r w:rsidR="00E45959" w:rsidRPr="001F7008">
        <w:rPr>
          <w:sz w:val="22"/>
          <w:szCs w:val="22"/>
        </w:rPr>
        <w:t>structures</w:t>
      </w:r>
      <w:r w:rsidR="004B2A46" w:rsidRPr="001F7008">
        <w:rPr>
          <w:sz w:val="22"/>
          <w:szCs w:val="22"/>
        </w:rPr>
        <w:t xml:space="preserve"> used</w:t>
      </w:r>
      <w:r w:rsidR="00497999" w:rsidRPr="001F7008">
        <w:rPr>
          <w:sz w:val="22"/>
          <w:szCs w:val="22"/>
        </w:rPr>
        <w:t xml:space="preserve"> primarily for agricultural</w:t>
      </w:r>
      <w:r w:rsidR="00F36CF9">
        <w:rPr>
          <w:sz w:val="22"/>
          <w:szCs w:val="22"/>
        </w:rPr>
        <w:t xml:space="preserve"> </w:t>
      </w:r>
      <w:r w:rsidR="00497999" w:rsidRPr="001F7008">
        <w:rPr>
          <w:sz w:val="22"/>
          <w:szCs w:val="22"/>
        </w:rPr>
        <w:t xml:space="preserve">purposes including </w:t>
      </w:r>
      <w:r w:rsidR="004B2A46" w:rsidRPr="001F7008">
        <w:rPr>
          <w:sz w:val="22"/>
          <w:szCs w:val="22"/>
        </w:rPr>
        <w:t>agritourism</w:t>
      </w:r>
      <w:r w:rsidR="00497999" w:rsidRPr="001F7008">
        <w:rPr>
          <w:sz w:val="22"/>
          <w:szCs w:val="22"/>
        </w:rPr>
        <w:t xml:space="preserve"> purposes</w:t>
      </w:r>
      <w:r w:rsidR="004B2A46" w:rsidRPr="001F7008">
        <w:rPr>
          <w:sz w:val="22"/>
          <w:szCs w:val="22"/>
        </w:rPr>
        <w:t>.</w:t>
      </w:r>
    </w:p>
    <w:p w14:paraId="18C4E958"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53881ED" w14:textId="1F35008D" w:rsidR="00240543"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79180D" w:rsidRPr="00E81DE1">
        <w:rPr>
          <w:rFonts w:eastAsia="PMingLiU"/>
          <w:sz w:val="22"/>
          <w:szCs w:val="22"/>
        </w:rPr>
        <w:t>1.</w:t>
      </w:r>
      <w:r w:rsidR="00E45959" w:rsidRPr="001F7008">
        <w:rPr>
          <w:rFonts w:eastAsia="PMingLiU"/>
          <w:sz w:val="22"/>
          <w:szCs w:val="22"/>
        </w:rPr>
        <w:t>7</w:t>
      </w:r>
      <w:r w:rsidR="001F7008">
        <w:rPr>
          <w:rFonts w:eastAsia="PMingLiU"/>
          <w:sz w:val="22"/>
          <w:szCs w:val="22"/>
        </w:rPr>
        <w:t>.</w:t>
      </w:r>
      <w:r w:rsidR="0001424F" w:rsidRPr="00E81DE1">
        <w:rPr>
          <w:rFonts w:eastAsia="PMingLiU"/>
          <w:sz w:val="22"/>
          <w:szCs w:val="22"/>
        </w:rPr>
        <w:t xml:space="preserve">  </w:t>
      </w:r>
      <w:r w:rsidR="00240543" w:rsidRPr="00E81DE1">
        <w:rPr>
          <w:rFonts w:eastAsia="PMingLiU"/>
          <w:sz w:val="22"/>
          <w:szCs w:val="22"/>
        </w:rPr>
        <w:t>Incorporation of Other Documents.</w:t>
      </w:r>
      <w:r w:rsidR="007475A9">
        <w:rPr>
          <w:rFonts w:eastAsia="PMingLiU"/>
          <w:sz w:val="22"/>
          <w:szCs w:val="22"/>
        </w:rPr>
        <w:t xml:space="preserve"> </w:t>
      </w:r>
      <w:r w:rsidR="00240543" w:rsidRPr="00E81DE1">
        <w:rPr>
          <w:rFonts w:eastAsia="PMingLiU"/>
          <w:sz w:val="22"/>
          <w:szCs w:val="22"/>
        </w:rPr>
        <w:t xml:space="preserve"> -- </w:t>
      </w:r>
      <w:r w:rsidR="007475A9">
        <w:rPr>
          <w:rFonts w:eastAsia="PMingLiU"/>
          <w:sz w:val="22"/>
          <w:szCs w:val="22"/>
        </w:rPr>
        <w:t xml:space="preserve"> </w:t>
      </w:r>
      <w:r w:rsidR="00240543" w:rsidRPr="00E81DE1">
        <w:rPr>
          <w:rFonts w:eastAsia="PMingLiU"/>
          <w:sz w:val="22"/>
          <w:szCs w:val="22"/>
        </w:rPr>
        <w:t>This rule does not include a reprinting of all the requirements imposed by statute or by the incorporation of various nationally recognized standards and codes cited in Subsection 4.1 of this rule.  For ascertaining these additional standards and requirements, it is necessary to make reference to the other documents.</w:t>
      </w:r>
    </w:p>
    <w:p w14:paraId="0913DBE6" w14:textId="77777777" w:rsidR="0079180D" w:rsidRPr="00E81DE1" w:rsidRDefault="0079180D">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9E7B456"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E81DE1">
        <w:rPr>
          <w:rFonts w:eastAsia="PMingLiU"/>
          <w:b/>
          <w:bCs/>
          <w:sz w:val="22"/>
          <w:szCs w:val="22"/>
        </w:rPr>
        <w:t>§87-4-2.  Definitions.</w:t>
      </w:r>
    </w:p>
    <w:p w14:paraId="28FE2069"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82E1577" w14:textId="4F62E51B" w:rsidR="00511F20"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2.1.  “ANSI” means American National Standards Institute, 25 West 43</w:t>
      </w:r>
      <w:r w:rsidR="00511F20" w:rsidRPr="00E81DE1">
        <w:rPr>
          <w:rFonts w:eastAsia="PMingLiU"/>
          <w:sz w:val="22"/>
          <w:szCs w:val="22"/>
          <w:vertAlign w:val="superscript"/>
        </w:rPr>
        <w:t>rd</w:t>
      </w:r>
      <w:r w:rsidR="00511F20" w:rsidRPr="00E81DE1">
        <w:rPr>
          <w:rFonts w:eastAsia="PMingLiU"/>
          <w:sz w:val="22"/>
          <w:szCs w:val="22"/>
        </w:rPr>
        <w:t xml:space="preserve"> St., Fourth Floor, New York, NY 10036.</w:t>
      </w:r>
    </w:p>
    <w:p w14:paraId="5AFA4E58"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F9C772F" w14:textId="1FFC2C61" w:rsidR="00511F20"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2.2.  “ASTM” means American Society of Testing and Materials.</w:t>
      </w:r>
    </w:p>
    <w:p w14:paraId="40953186"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699A74A" w14:textId="283F4A79" w:rsidR="00511F20"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2.3.  “Fire Commission” means the thirteen (13) appointed members of the West Virginia State Fire Commission.</w:t>
      </w:r>
    </w:p>
    <w:p w14:paraId="3FB391E8"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6F14AD2" w14:textId="1F18D781" w:rsidR="00511F20"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2.4.  “Fire Marshal” means the West Virginia State Fire Marshal and/or his or her designated representatives.</w:t>
      </w:r>
    </w:p>
    <w:p w14:paraId="51D03673"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BC5C3A7" w14:textId="171037A6" w:rsidR="00511F20"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 xml:space="preserve">2.5.  </w:t>
      </w:r>
      <w:r w:rsidR="009F0246" w:rsidRPr="00E81DE1">
        <w:rPr>
          <w:rFonts w:eastAsia="PMingLiU"/>
          <w:sz w:val="22"/>
          <w:szCs w:val="22"/>
        </w:rPr>
        <w:t xml:space="preserve">“ICC” or “International” means International Code Council. </w:t>
      </w:r>
    </w:p>
    <w:p w14:paraId="2CEFAA65"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168BE89" w14:textId="64338F3A" w:rsidR="00511F20"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 xml:space="preserve">2.6.  </w:t>
      </w:r>
      <w:r w:rsidR="009F0246" w:rsidRPr="00E81DE1">
        <w:rPr>
          <w:rFonts w:eastAsia="PMingLiU"/>
          <w:sz w:val="22"/>
          <w:szCs w:val="22"/>
        </w:rPr>
        <w:t>“Local jurisdiction” means municipal, county, or other local government.</w:t>
      </w:r>
    </w:p>
    <w:p w14:paraId="2A623914"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5348DA9" w14:textId="290A9F8E" w:rsidR="00511F20"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2.7.  “NFPA” means National Fire Protection Association</w:t>
      </w:r>
      <w:r w:rsidR="00F96F54" w:rsidRPr="00E81DE1">
        <w:rPr>
          <w:rFonts w:eastAsia="PMingLiU"/>
          <w:sz w:val="22"/>
          <w:szCs w:val="22"/>
        </w:rPr>
        <w:t>.</w:t>
      </w:r>
    </w:p>
    <w:p w14:paraId="1C2B3FC3"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239CFE1" w14:textId="1797CB40" w:rsidR="00511F20"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lastRenderedPageBreak/>
        <w:tab/>
      </w:r>
      <w:r w:rsidR="00511F20" w:rsidRPr="00E81DE1">
        <w:rPr>
          <w:rFonts w:eastAsia="PMingLiU"/>
          <w:sz w:val="22"/>
          <w:szCs w:val="22"/>
        </w:rPr>
        <w:t>2.8.  “State Building Code” means the entire contents of this rule and the referenced national standards and codes.</w:t>
      </w:r>
    </w:p>
    <w:p w14:paraId="3EE8B721"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0C63A9E" w14:textId="355D26B9" w:rsidR="00511F20" w:rsidRPr="00E81DE1" w:rsidRDefault="003D1A50" w:rsidP="003D1A5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 xml:space="preserve">2.9.  “State Fire Code” means the entire contents of </w:t>
      </w:r>
      <w:r w:rsidR="009F0246" w:rsidRPr="00E81DE1">
        <w:rPr>
          <w:rFonts w:eastAsia="PMingLiU"/>
          <w:sz w:val="22"/>
          <w:szCs w:val="22"/>
        </w:rPr>
        <w:t>the</w:t>
      </w:r>
      <w:r w:rsidR="00F96F54" w:rsidRPr="00E81DE1">
        <w:rPr>
          <w:rFonts w:eastAsia="PMingLiU"/>
          <w:sz w:val="22"/>
          <w:szCs w:val="22"/>
        </w:rPr>
        <w:t xml:space="preserve"> </w:t>
      </w:r>
      <w:r w:rsidR="009F0246" w:rsidRPr="00E81DE1">
        <w:rPr>
          <w:rFonts w:eastAsia="PMingLiU"/>
          <w:sz w:val="22"/>
          <w:szCs w:val="22"/>
        </w:rPr>
        <w:t xml:space="preserve">State Fire Code, </w:t>
      </w:r>
      <w:r w:rsidR="00511F20" w:rsidRPr="00E81DE1">
        <w:rPr>
          <w:rFonts w:eastAsia="PMingLiU"/>
          <w:sz w:val="22"/>
          <w:szCs w:val="22"/>
        </w:rPr>
        <w:t>87CSR1, and the referenced standards and codes.</w:t>
      </w:r>
    </w:p>
    <w:p w14:paraId="4FC379C4" w14:textId="77777777" w:rsidR="00511F20" w:rsidRPr="00E81DE1" w:rsidRDefault="00511F20"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9234127"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E81DE1">
        <w:rPr>
          <w:rFonts w:eastAsia="PMingLiU"/>
          <w:b/>
          <w:bCs/>
          <w:sz w:val="22"/>
          <w:szCs w:val="22"/>
        </w:rPr>
        <w:t>§87-4-3.  Conflicts.</w:t>
      </w:r>
    </w:p>
    <w:p w14:paraId="78873827"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68218D7" w14:textId="6402D88C" w:rsidR="00511F20" w:rsidRPr="00E81DE1"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3.1.  Whenever there is a conflict between the State Fire Code and the State Building Code, the State Fire Code takes precedence.</w:t>
      </w:r>
    </w:p>
    <w:p w14:paraId="77FFE6DD"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F48A8BE" w14:textId="5C3A6C3E" w:rsidR="00511F20" w:rsidRPr="00E81DE1"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3.2.  Whenever there is a conflict between the International Plumbing Code requirements of the State Building Code and the rules of the West Virginia State Department of Health and Human Resources, the rules of the Department of Health and Human Resources take precedence.</w:t>
      </w:r>
    </w:p>
    <w:p w14:paraId="117E4FA0"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5C1755B" w14:textId="48576A41" w:rsidR="00511F20" w:rsidRPr="00E81DE1"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3.3.  Whenever there is a conflict between the State Building Code and statutory laws of the State of West Virginia, the laws of the State of West Virginia take precedence.</w:t>
      </w:r>
    </w:p>
    <w:p w14:paraId="59C001CB"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611AB81"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E81DE1">
        <w:rPr>
          <w:rFonts w:eastAsia="PMingLiU"/>
          <w:b/>
          <w:bCs/>
          <w:sz w:val="22"/>
          <w:szCs w:val="22"/>
        </w:rPr>
        <w:t>§87-4-4.  National Standards and Codes.</w:t>
      </w:r>
    </w:p>
    <w:p w14:paraId="5EED36C6"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D5B2BA3" w14:textId="5C941062" w:rsidR="00511F20" w:rsidRPr="00E81DE1"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E81DE1">
        <w:rPr>
          <w:rFonts w:eastAsia="PMingLiU"/>
          <w:sz w:val="22"/>
          <w:szCs w:val="22"/>
        </w:rPr>
        <w:t>4.1.  The standards and requirements as set out and as published by the International Code Council, and American National Standards Institute, and the National Fire Protection Association as listed in this subsection, have the same force and effect as if set out verbatim in this rule.</w:t>
      </w:r>
    </w:p>
    <w:p w14:paraId="3DA5E0A9"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FA88212" w14:textId="7F2B202E" w:rsidR="00511F20" w:rsidRPr="00AB2C64"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sidR="00511F20" w:rsidRPr="00E81DE1">
        <w:rPr>
          <w:rFonts w:eastAsia="PMingLiU"/>
          <w:sz w:val="22"/>
          <w:szCs w:val="22"/>
        </w:rPr>
        <w:t xml:space="preserve">4.1.a.  The </w:t>
      </w:r>
      <w:r w:rsidR="00E45959" w:rsidRPr="00AB2C64">
        <w:rPr>
          <w:rFonts w:eastAsia="Calibri"/>
          <w:sz w:val="22"/>
          <w:szCs w:val="22"/>
        </w:rPr>
        <w:t>2018</w:t>
      </w:r>
      <w:r w:rsidR="00E45959" w:rsidRPr="00AB2C64">
        <w:rPr>
          <w:rFonts w:eastAsia="PMingLiU"/>
          <w:sz w:val="22"/>
          <w:szCs w:val="22"/>
        </w:rPr>
        <w:t xml:space="preserve"> </w:t>
      </w:r>
      <w:r w:rsidR="00511F20" w:rsidRPr="00AB2C64">
        <w:rPr>
          <w:rFonts w:eastAsia="PMingLiU"/>
          <w:sz w:val="22"/>
          <w:szCs w:val="22"/>
        </w:rPr>
        <w:t>edition, International Building Code, with the following exceptions:</w:t>
      </w:r>
    </w:p>
    <w:p w14:paraId="1E92BBBE" w14:textId="77777777" w:rsidR="00511F20" w:rsidRPr="00AB2C64"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E391B45" w14:textId="75B35BEC" w:rsidR="00511F20" w:rsidRPr="00E81DE1"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511F20" w:rsidRPr="00E81DE1">
        <w:rPr>
          <w:rFonts w:eastAsia="PMingLiU"/>
          <w:sz w:val="22"/>
          <w:szCs w:val="22"/>
        </w:rPr>
        <w:t xml:space="preserve">4.1.a.1.  Provided; that the section entitled “Fire Prevention” and identified as Section </w:t>
      </w:r>
      <w:r w:rsidR="00511F20" w:rsidRPr="00E81DE1">
        <w:rPr>
          <w:rFonts w:eastAsia="PMingLiU"/>
          <w:iCs/>
          <w:sz w:val="22"/>
          <w:szCs w:val="22"/>
        </w:rPr>
        <w:t>101.4.5</w:t>
      </w:r>
      <w:r w:rsidR="00511F20" w:rsidRPr="00E81DE1">
        <w:rPr>
          <w:rFonts w:eastAsia="PMingLiU"/>
          <w:i/>
          <w:iCs/>
          <w:sz w:val="22"/>
          <w:szCs w:val="22"/>
        </w:rPr>
        <w:t xml:space="preserve"> </w:t>
      </w:r>
      <w:r w:rsidR="00511F20" w:rsidRPr="00E81DE1">
        <w:rPr>
          <w:rFonts w:eastAsia="PMingLiU"/>
          <w:sz w:val="22"/>
          <w:szCs w:val="22"/>
        </w:rPr>
        <w:t>is deleted and not considered to be a part of this rule.</w:t>
      </w:r>
    </w:p>
    <w:p w14:paraId="6FD82F8F"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3A566C7" w14:textId="73D86AC2" w:rsidR="00511F20" w:rsidRPr="00E81DE1"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511F20" w:rsidRPr="00E81DE1">
        <w:rPr>
          <w:rFonts w:eastAsia="PMingLiU"/>
          <w:sz w:val="22"/>
          <w:szCs w:val="22"/>
        </w:rPr>
        <w:t>4.1.a.2.  Further provided that the entire subsection entitled</w:t>
      </w:r>
      <w:r w:rsidR="007F4CBD" w:rsidRPr="00E81DE1">
        <w:rPr>
          <w:rFonts w:eastAsia="PMingLiU"/>
          <w:sz w:val="22"/>
          <w:szCs w:val="22"/>
        </w:rPr>
        <w:t xml:space="preserve"> </w:t>
      </w:r>
      <w:r w:rsidR="00511F20" w:rsidRPr="00E81DE1">
        <w:rPr>
          <w:rFonts w:eastAsia="PMingLiU"/>
          <w:sz w:val="22"/>
          <w:szCs w:val="22"/>
        </w:rPr>
        <w:t>“Qualifications” and identified as Section 113.3 is deleted and replaced with the following:</w:t>
      </w:r>
    </w:p>
    <w:p w14:paraId="0B64B471"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16B05DA" w14:textId="77777777" w:rsidR="00511F20" w:rsidRPr="00E81DE1" w:rsidRDefault="00092E4B">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E81DE1">
        <w:rPr>
          <w:rFonts w:eastAsia="PMingLiU"/>
          <w:sz w:val="22"/>
          <w:szCs w:val="22"/>
        </w:rPr>
        <w:t>“</w:t>
      </w:r>
      <w:r w:rsidR="00511F20" w:rsidRPr="00E81DE1">
        <w:rPr>
          <w:rFonts w:eastAsia="PMingLiU"/>
          <w:sz w:val="22"/>
          <w:szCs w:val="22"/>
        </w:rPr>
        <w:t>Section 113.3.  Board of Appeals</w:t>
      </w:r>
    </w:p>
    <w:p w14:paraId="71CC5BE0"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7ED9EDB" w14:textId="563A93F4"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E81DE1">
        <w:rPr>
          <w:rFonts w:eastAsia="PMingLiU"/>
          <w:sz w:val="22"/>
          <w:szCs w:val="22"/>
        </w:rPr>
        <w:t>113.3</w:t>
      </w:r>
      <w:r w:rsidR="00184FBF" w:rsidRPr="00E81DE1">
        <w:rPr>
          <w:rFonts w:eastAsia="PMingLiU"/>
          <w:sz w:val="22"/>
          <w:szCs w:val="22"/>
        </w:rPr>
        <w:t>.</w:t>
      </w:r>
      <w:r w:rsidRPr="00E81DE1">
        <w:rPr>
          <w:rFonts w:eastAsia="PMingLiU"/>
          <w:sz w:val="22"/>
          <w:szCs w:val="22"/>
        </w:rPr>
        <w:t xml:space="preserve"> Qualifications.  The board of appeals shall consist of five members, with up to three alternates, who are qualified by experience and training to pass on matters pertaining to building construction and are not employees of the jurisdiction.  They may include, but are not limited to, a WV Registered Professional Architect or Engineer, or a WV Licensed General Building, Residential, Electrical, Piping, Plumbing, Mechanical or Fire Protection Contractor, with at least 10</w:t>
      </w:r>
      <w:r w:rsidR="007C43F3" w:rsidRPr="00E81DE1">
        <w:rPr>
          <w:rFonts w:eastAsia="PMingLiU"/>
          <w:sz w:val="22"/>
          <w:szCs w:val="22"/>
        </w:rPr>
        <w:t xml:space="preserve"> </w:t>
      </w:r>
      <w:r w:rsidRPr="00E81DE1">
        <w:rPr>
          <w:rFonts w:eastAsia="PMingLiU"/>
          <w:sz w:val="22"/>
          <w:szCs w:val="22"/>
        </w:rPr>
        <w:t>years experience, five of which shall be in responsible charge of work.</w:t>
      </w:r>
      <w:r w:rsidR="009F0246" w:rsidRPr="00E81DE1">
        <w:rPr>
          <w:rFonts w:eastAsia="PMingLiU"/>
          <w:sz w:val="22"/>
          <w:szCs w:val="22"/>
        </w:rPr>
        <w:t xml:space="preserve">  No less than one of the members of such Board of Appeals shall be a WV Registered Professional Architect or Engineer, or a WV Licensed General Building, Residential, Electrical, Piping, Plumbing, Mechanical or Fire Protection Contractor.</w:t>
      </w:r>
      <w:r w:rsidR="00092E4B" w:rsidRPr="00E81DE1">
        <w:rPr>
          <w:rFonts w:eastAsia="PMingLiU"/>
          <w:sz w:val="22"/>
          <w:szCs w:val="22"/>
        </w:rPr>
        <w:t>”</w:t>
      </w:r>
    </w:p>
    <w:p w14:paraId="01F4026B"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90D6198" w14:textId="054C36CC" w:rsidR="00511F20" w:rsidRPr="001F700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sidR="00511F20" w:rsidRPr="00E81DE1">
        <w:rPr>
          <w:rFonts w:eastAsia="PMingLiU"/>
          <w:sz w:val="22"/>
          <w:szCs w:val="22"/>
        </w:rPr>
        <w:t xml:space="preserve">4.1.b.  The </w:t>
      </w:r>
      <w:r w:rsidR="00E45959" w:rsidRPr="001F7008">
        <w:rPr>
          <w:rFonts w:eastAsia="Calibri"/>
          <w:sz w:val="22"/>
          <w:szCs w:val="22"/>
        </w:rPr>
        <w:t xml:space="preserve">2018 </w:t>
      </w:r>
      <w:r w:rsidR="00511F20" w:rsidRPr="001F7008">
        <w:rPr>
          <w:rFonts w:eastAsia="PMingLiU"/>
          <w:sz w:val="22"/>
          <w:szCs w:val="22"/>
        </w:rPr>
        <w:t>edition of the International Plumbing Code.</w:t>
      </w:r>
    </w:p>
    <w:p w14:paraId="6165C9D4"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8019712"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sidR="00511F20" w:rsidRPr="001F7008">
        <w:rPr>
          <w:rFonts w:eastAsia="PMingLiU"/>
          <w:sz w:val="22"/>
          <w:szCs w:val="22"/>
        </w:rPr>
        <w:t>4.1.c.  The</w:t>
      </w:r>
      <w:r w:rsidR="006327E4" w:rsidRPr="001F7008">
        <w:rPr>
          <w:rFonts w:eastAsia="PMingLiU"/>
          <w:sz w:val="22"/>
          <w:szCs w:val="22"/>
        </w:rPr>
        <w:t xml:space="preserve"> </w:t>
      </w:r>
      <w:r w:rsidR="00E45959" w:rsidRPr="001F7008">
        <w:rPr>
          <w:rFonts w:eastAsia="Calibri"/>
          <w:sz w:val="22"/>
          <w:szCs w:val="22"/>
        </w:rPr>
        <w:t xml:space="preserve">2018 </w:t>
      </w:r>
      <w:r w:rsidR="00511F20" w:rsidRPr="001F7008">
        <w:rPr>
          <w:rFonts w:eastAsia="PMingLiU"/>
          <w:sz w:val="22"/>
          <w:szCs w:val="22"/>
        </w:rPr>
        <w:t>edition of the International Mechanical Code.</w:t>
      </w:r>
      <w:r w:rsidR="00B71E55" w:rsidRPr="001F7008">
        <w:rPr>
          <w:rFonts w:eastAsia="PMingLiU"/>
          <w:sz w:val="22"/>
          <w:szCs w:val="22"/>
        </w:rPr>
        <w:t xml:space="preserve">  The following shall be in addition to the current language found in the said edition of the reference code and section:</w:t>
      </w:r>
    </w:p>
    <w:p w14:paraId="0A6F6681"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4081E7B"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B71E55" w:rsidRPr="001F7008">
        <w:rPr>
          <w:rFonts w:eastAsia="PMingLiU"/>
          <w:sz w:val="22"/>
          <w:szCs w:val="22"/>
        </w:rPr>
        <w:t xml:space="preserve">4.1.c.1.  See International Mechanical Code, </w:t>
      </w:r>
      <w:r w:rsidR="00B71E55" w:rsidRPr="001F7008">
        <w:rPr>
          <w:rFonts w:eastAsia="Calibri"/>
          <w:sz w:val="22"/>
          <w:szCs w:val="22"/>
        </w:rPr>
        <w:t>Section 908, Cooling Towers, Evaporative Condensers and Fluid Coolers</w:t>
      </w:r>
      <w:r w:rsidR="00BF694D" w:rsidRPr="001F7008">
        <w:rPr>
          <w:rFonts w:eastAsia="Calibri"/>
          <w:sz w:val="22"/>
          <w:szCs w:val="22"/>
        </w:rPr>
        <w:t>.</w:t>
      </w:r>
    </w:p>
    <w:p w14:paraId="60E3E967"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Pr>
          <w:rFonts w:eastAsia="PMingLiU"/>
          <w:sz w:val="22"/>
          <w:szCs w:val="22"/>
        </w:rPr>
        <w:lastRenderedPageBreak/>
        <w:tab/>
      </w:r>
      <w:r>
        <w:rPr>
          <w:rFonts w:eastAsia="PMingLiU"/>
          <w:sz w:val="22"/>
          <w:szCs w:val="22"/>
        </w:rPr>
        <w:tab/>
      </w:r>
      <w:r>
        <w:rPr>
          <w:rFonts w:eastAsia="PMingLiU"/>
          <w:sz w:val="22"/>
          <w:szCs w:val="22"/>
        </w:rPr>
        <w:tab/>
      </w:r>
      <w:r>
        <w:rPr>
          <w:rFonts w:eastAsia="PMingLiU"/>
          <w:sz w:val="22"/>
          <w:szCs w:val="22"/>
        </w:rPr>
        <w:tab/>
      </w:r>
      <w:r w:rsidR="00BF694D" w:rsidRPr="001F7008">
        <w:rPr>
          <w:rFonts w:eastAsia="Calibri"/>
          <w:sz w:val="22"/>
          <w:szCs w:val="22"/>
        </w:rPr>
        <w:t xml:space="preserve">4.1.c.1.A.  </w:t>
      </w:r>
      <w:r w:rsidR="00B71E55" w:rsidRPr="001F7008">
        <w:rPr>
          <w:rFonts w:eastAsia="Calibri"/>
          <w:sz w:val="22"/>
          <w:szCs w:val="22"/>
        </w:rPr>
        <w:t>908.1 General</w:t>
      </w:r>
      <w:r w:rsidR="00BF694D" w:rsidRPr="001F7008">
        <w:rPr>
          <w:rFonts w:eastAsia="Calibri"/>
          <w:sz w:val="22"/>
          <w:szCs w:val="22"/>
        </w:rPr>
        <w:t xml:space="preserve">- </w:t>
      </w:r>
      <w:r w:rsidR="00B71E55" w:rsidRPr="001F7008">
        <w:rPr>
          <w:rFonts w:eastAsia="Calibri"/>
          <w:sz w:val="22"/>
          <w:szCs w:val="22"/>
        </w:rPr>
        <w:t>A cooling tower used in conjunction with an air-conditioning appliance shall be installed in accordance with the manufacturer’s instructions. Factory-built cooling towers shall be listed in accordance with UL 1995 or UL/CSA 60335-2-40.</w:t>
      </w:r>
    </w:p>
    <w:p w14:paraId="54160C8E"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0F50BA97"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sidR="00BF694D" w:rsidRPr="001F7008">
        <w:rPr>
          <w:rFonts w:eastAsia="Calibri"/>
          <w:sz w:val="22"/>
          <w:szCs w:val="22"/>
        </w:rPr>
        <w:t xml:space="preserve">4.1.c.1.B.  </w:t>
      </w:r>
      <w:r w:rsidR="00B71E55" w:rsidRPr="001F7008">
        <w:rPr>
          <w:rFonts w:eastAsia="Calibri"/>
          <w:sz w:val="22"/>
          <w:szCs w:val="22"/>
        </w:rPr>
        <w:t>Section 916 Pool and Spa Heaters</w:t>
      </w:r>
    </w:p>
    <w:p w14:paraId="1C9C4B39"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59302341"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sidR="00BF694D" w:rsidRPr="001F7008">
        <w:rPr>
          <w:rFonts w:eastAsia="Calibri"/>
          <w:sz w:val="22"/>
          <w:szCs w:val="22"/>
        </w:rPr>
        <w:t>4.1.c.1.B.</w:t>
      </w:r>
      <w:r w:rsidR="00E31644" w:rsidRPr="001F7008">
        <w:rPr>
          <w:rFonts w:eastAsia="Calibri"/>
          <w:sz w:val="22"/>
          <w:szCs w:val="22"/>
        </w:rPr>
        <w:t xml:space="preserve">1. </w:t>
      </w:r>
      <w:r w:rsidR="00BF694D" w:rsidRPr="001F7008">
        <w:rPr>
          <w:rFonts w:eastAsia="Calibri"/>
          <w:sz w:val="22"/>
          <w:szCs w:val="22"/>
        </w:rPr>
        <w:t xml:space="preserve"> </w:t>
      </w:r>
      <w:r w:rsidR="00B71E55" w:rsidRPr="001F7008">
        <w:rPr>
          <w:rFonts w:eastAsia="Calibri"/>
          <w:sz w:val="22"/>
          <w:szCs w:val="22"/>
        </w:rPr>
        <w:t>916.1 General</w:t>
      </w:r>
      <w:r w:rsidR="00BF694D" w:rsidRPr="001F7008">
        <w:rPr>
          <w:rFonts w:eastAsia="Calibri"/>
          <w:sz w:val="22"/>
          <w:szCs w:val="22"/>
        </w:rPr>
        <w:t xml:space="preserve">- </w:t>
      </w:r>
      <w:r w:rsidR="00B71E55" w:rsidRPr="001F7008">
        <w:rPr>
          <w:rFonts w:eastAsia="Calibri"/>
          <w:sz w:val="22"/>
          <w:szCs w:val="22"/>
        </w:rPr>
        <w:t>Pool and spa heaters shall be installed in accordance with the manufacturer's instructions. Oil-fired pool and spa heaters shall be tested in accordance with UL 1261. Pool and spa heat pump water heaters shall comply with UL 1995, UL/CSA 60335-2-40 or CSA C22.2 No. 236.</w:t>
      </w:r>
    </w:p>
    <w:p w14:paraId="7A11ED4D"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15DC8935"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sidR="00BF694D" w:rsidRPr="001F7008">
        <w:rPr>
          <w:rFonts w:eastAsia="Calibri"/>
          <w:sz w:val="22"/>
          <w:szCs w:val="22"/>
        </w:rPr>
        <w:t>4.1.c.1.B.</w:t>
      </w:r>
      <w:r w:rsidR="00E31644" w:rsidRPr="001F7008">
        <w:rPr>
          <w:rFonts w:eastAsia="Calibri"/>
          <w:sz w:val="22"/>
          <w:szCs w:val="22"/>
        </w:rPr>
        <w:t>1.(a).</w:t>
      </w:r>
      <w:r w:rsidR="00BF694D" w:rsidRPr="001F7008">
        <w:rPr>
          <w:rFonts w:eastAsia="Calibri"/>
          <w:sz w:val="22"/>
          <w:szCs w:val="22"/>
        </w:rPr>
        <w:t xml:space="preserve">  </w:t>
      </w:r>
      <w:r w:rsidR="00B71E55" w:rsidRPr="001F7008">
        <w:rPr>
          <w:rFonts w:eastAsia="Calibri"/>
          <w:sz w:val="22"/>
          <w:szCs w:val="22"/>
        </w:rPr>
        <w:t>Exception: Portable residential spas and portable residential exercise spas shall comply with UL 1563 or CSA C22.2 No. 218.1.</w:t>
      </w:r>
    </w:p>
    <w:p w14:paraId="36DF3EFE"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57279ABB"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sidR="00BF694D" w:rsidRPr="001F7008">
        <w:rPr>
          <w:rFonts w:eastAsia="Calibri"/>
          <w:sz w:val="22"/>
          <w:szCs w:val="22"/>
        </w:rPr>
        <w:t xml:space="preserve">4.1.c.1.C.  </w:t>
      </w:r>
      <w:r w:rsidR="00B71E55" w:rsidRPr="001F7008">
        <w:rPr>
          <w:rFonts w:eastAsia="Calibri"/>
          <w:sz w:val="22"/>
          <w:szCs w:val="22"/>
        </w:rPr>
        <w:t>Section 918 Forced-Air Warm-Air Furnaces</w:t>
      </w:r>
    </w:p>
    <w:p w14:paraId="1DE9C7F2"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61A874D7"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sidR="00BF694D" w:rsidRPr="001F7008">
        <w:rPr>
          <w:rFonts w:eastAsia="Calibri"/>
          <w:sz w:val="22"/>
          <w:szCs w:val="22"/>
        </w:rPr>
        <w:t>4.1.c.1.C.1.</w:t>
      </w:r>
      <w:r>
        <w:rPr>
          <w:rFonts w:eastAsia="Calibri"/>
          <w:sz w:val="22"/>
          <w:szCs w:val="22"/>
        </w:rPr>
        <w:t xml:space="preserve"> </w:t>
      </w:r>
      <w:r w:rsidR="00BF694D" w:rsidRPr="001F7008">
        <w:rPr>
          <w:rFonts w:eastAsia="Calibri"/>
          <w:sz w:val="22"/>
          <w:szCs w:val="22"/>
        </w:rPr>
        <w:t xml:space="preserve"> </w:t>
      </w:r>
      <w:r w:rsidR="00B71E55" w:rsidRPr="001F7008">
        <w:rPr>
          <w:rFonts w:eastAsia="Calibri"/>
          <w:sz w:val="22"/>
          <w:szCs w:val="22"/>
        </w:rPr>
        <w:t>918.1 Forced-Air furnaces</w:t>
      </w:r>
      <w:r w:rsidR="00BF694D" w:rsidRPr="001F7008">
        <w:rPr>
          <w:rFonts w:eastAsia="Calibri"/>
          <w:sz w:val="22"/>
          <w:szCs w:val="22"/>
        </w:rPr>
        <w:t xml:space="preserve">- </w:t>
      </w:r>
      <w:r w:rsidR="00B71E55" w:rsidRPr="001F7008">
        <w:rPr>
          <w:rFonts w:eastAsia="Calibri"/>
          <w:sz w:val="22"/>
          <w:szCs w:val="22"/>
        </w:rPr>
        <w:t xml:space="preserve">Oil-fired furnaces shall be tested in accordance with UL 727. Electric furnaces shall be tested in accordance with UL 1995 or UL/CSA 60335-2-40. Solid fuel furnaces shall be tested in accordance with UL 391. Forced-air furnaces shall be installed in accordance with the listings and the manufacturer’s instructions. </w:t>
      </w:r>
    </w:p>
    <w:p w14:paraId="470DBC43"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105FE375"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sidR="00BF694D" w:rsidRPr="001F7008">
        <w:rPr>
          <w:rFonts w:eastAsia="Calibri"/>
          <w:sz w:val="22"/>
          <w:szCs w:val="22"/>
        </w:rPr>
        <w:t>4.1.c.1.C.2.  1</w:t>
      </w:r>
      <w:r w:rsidR="00B71E55" w:rsidRPr="001F7008">
        <w:rPr>
          <w:rFonts w:eastAsia="Calibri"/>
          <w:sz w:val="22"/>
          <w:szCs w:val="22"/>
        </w:rPr>
        <w:t>918.2 Heat Pumps</w:t>
      </w:r>
      <w:r w:rsidR="00BF694D" w:rsidRPr="001F7008">
        <w:rPr>
          <w:rFonts w:eastAsia="Calibri"/>
          <w:sz w:val="22"/>
          <w:szCs w:val="22"/>
        </w:rPr>
        <w:t xml:space="preserve">- </w:t>
      </w:r>
      <w:r w:rsidR="00B71E55" w:rsidRPr="001F7008">
        <w:rPr>
          <w:rFonts w:eastAsia="Calibri"/>
          <w:sz w:val="22"/>
          <w:szCs w:val="22"/>
        </w:rPr>
        <w:t>Electric heat pumps shall be tested in accordance with UL 1995 or UL/CSA 60335-2-40.</w:t>
      </w:r>
    </w:p>
    <w:p w14:paraId="740F8184"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5D037DA3"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sidR="00BF694D" w:rsidRPr="001F7008">
        <w:rPr>
          <w:rFonts w:eastAsia="Calibri"/>
          <w:sz w:val="22"/>
          <w:szCs w:val="22"/>
        </w:rPr>
        <w:t xml:space="preserve">4.1.c.1.D.  </w:t>
      </w:r>
      <w:r w:rsidR="00B71E55" w:rsidRPr="001F7008">
        <w:rPr>
          <w:rFonts w:eastAsia="Calibri"/>
          <w:sz w:val="22"/>
          <w:szCs w:val="22"/>
        </w:rPr>
        <w:t>Section 1101 General</w:t>
      </w:r>
    </w:p>
    <w:p w14:paraId="60350338"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44C17FD9"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sidR="00BF694D" w:rsidRPr="001F7008">
        <w:rPr>
          <w:rFonts w:eastAsia="Calibri"/>
          <w:sz w:val="22"/>
          <w:szCs w:val="22"/>
        </w:rPr>
        <w:t xml:space="preserve">4.1.c.1.D.1.  </w:t>
      </w:r>
      <w:r w:rsidR="00B71E55" w:rsidRPr="001F7008">
        <w:rPr>
          <w:rFonts w:eastAsia="Calibri"/>
          <w:sz w:val="22"/>
          <w:szCs w:val="22"/>
        </w:rPr>
        <w:t>1101.2 Factory-Built Equipment and Appliances</w:t>
      </w:r>
      <w:r w:rsidR="00BF694D" w:rsidRPr="001F7008">
        <w:rPr>
          <w:rFonts w:eastAsia="Calibri"/>
          <w:sz w:val="22"/>
          <w:szCs w:val="22"/>
        </w:rPr>
        <w:t xml:space="preserve">- </w:t>
      </w:r>
      <w:r w:rsidR="00B71E55" w:rsidRPr="001F7008">
        <w:rPr>
          <w:rFonts w:eastAsia="Calibri"/>
          <w:sz w:val="22"/>
          <w:szCs w:val="22"/>
        </w:rPr>
        <w:t>Listed and labeled self-contained, factory-built equipment and appliances shall be tested in accordance with UL 207, 412, 471, 1995, UL/CSA 60335-2-40, or UL/CSA 60335-2-89. Such equipment and appliances are deemed to meet the design, manufacture and factory test requirements of this code if installed in accordance with their listing and the manufacturer’s instructions.</w:t>
      </w:r>
    </w:p>
    <w:p w14:paraId="50B818F6" w14:textId="77777777" w:rsidR="001A093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2ED7CBD2" w14:textId="194513B7" w:rsidR="00B71E55" w:rsidRPr="001F7008" w:rsidRDefault="001A0938" w:rsidP="001A093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r>
      <w:r w:rsidR="00BF694D" w:rsidRPr="001F7008">
        <w:rPr>
          <w:rFonts w:eastAsia="Calibri"/>
          <w:sz w:val="22"/>
          <w:szCs w:val="22"/>
        </w:rPr>
        <w:t xml:space="preserve">4.1.c.1.D.2.  </w:t>
      </w:r>
      <w:r w:rsidR="00B71E55" w:rsidRPr="001F7008">
        <w:rPr>
          <w:rFonts w:eastAsia="Calibri"/>
          <w:sz w:val="22"/>
          <w:szCs w:val="22"/>
        </w:rPr>
        <w:t xml:space="preserve">1101.6 General. Refrigeration systems shall comply with the requirements of this code and, except as modified by this code, ASHRAE 15. Ammonia-refrigerating systems shall comply with this code and, except as modified by this code, ASHRAE 15, IIAR 2. High probability systems utilizing A2L refrigerants shall comply with ASHRAE 15. </w:t>
      </w:r>
    </w:p>
    <w:p w14:paraId="0A366AE7" w14:textId="2AEF9431" w:rsidR="00B128E8" w:rsidRPr="001F7008" w:rsidRDefault="00B128E8" w:rsidP="00B71E55">
      <w:pPr>
        <w:widowControl/>
        <w:autoSpaceDE/>
        <w:autoSpaceDN/>
        <w:adjustRightInd/>
        <w:spacing w:after="160" w:line="259" w:lineRule="auto"/>
        <w:rPr>
          <w:rFonts w:eastAsia="Calibri"/>
          <w:sz w:val="22"/>
          <w:szCs w:val="22"/>
        </w:rPr>
      </w:pPr>
    </w:p>
    <w:p w14:paraId="1A90FD14" w14:textId="0C6E2D38" w:rsidR="00B71E55" w:rsidRPr="001F7008" w:rsidRDefault="00E31644" w:rsidP="00E31644">
      <w:pPr>
        <w:widowControl/>
        <w:autoSpaceDE/>
        <w:autoSpaceDN/>
        <w:adjustRightInd/>
        <w:spacing w:after="160" w:line="259" w:lineRule="auto"/>
        <w:ind w:left="720" w:firstLine="720"/>
        <w:rPr>
          <w:rFonts w:eastAsia="Calibri"/>
          <w:sz w:val="22"/>
          <w:szCs w:val="22"/>
        </w:rPr>
      </w:pPr>
      <w:r w:rsidRPr="001F7008">
        <w:rPr>
          <w:rFonts w:eastAsia="Calibri"/>
          <w:sz w:val="22"/>
          <w:szCs w:val="22"/>
        </w:rPr>
        <w:t xml:space="preserve">4.1.c.1.E.  </w:t>
      </w:r>
      <w:r w:rsidR="00B71E55" w:rsidRPr="001F7008">
        <w:rPr>
          <w:rFonts w:eastAsia="Calibri"/>
          <w:sz w:val="22"/>
          <w:szCs w:val="22"/>
        </w:rPr>
        <w:t>Chapter 15 REFERENCED STANDARDS</w:t>
      </w:r>
    </w:p>
    <w:p w14:paraId="4749A748" w14:textId="6AD40DF3" w:rsidR="00B71E55" w:rsidRPr="001F7008" w:rsidRDefault="00EC7A77" w:rsidP="00E31644">
      <w:pPr>
        <w:widowControl/>
        <w:autoSpaceDE/>
        <w:autoSpaceDN/>
        <w:adjustRightInd/>
        <w:spacing w:after="160" w:line="259" w:lineRule="auto"/>
        <w:ind w:left="1440" w:firstLine="720"/>
        <w:rPr>
          <w:rFonts w:eastAsia="Calibri"/>
          <w:sz w:val="22"/>
          <w:szCs w:val="22"/>
        </w:rPr>
      </w:pPr>
      <w:r w:rsidRPr="001F7008">
        <w:rPr>
          <w:rFonts w:eastAsia="Calibri"/>
          <w:noProof/>
          <w:sz w:val="22"/>
          <w:szCs w:val="22"/>
        </w:rPr>
        <mc:AlternateContent>
          <mc:Choice Requires="wps">
            <w:drawing>
              <wp:anchor distT="0" distB="0" distL="114300" distR="114300" simplePos="0" relativeHeight="251659264" behindDoc="1" locked="0" layoutInCell="1" allowOverlap="1" wp14:anchorId="2658A6C7" wp14:editId="657F674A">
                <wp:simplePos x="0" y="0"/>
                <wp:positionH relativeFrom="margin">
                  <wp:posOffset>-57150</wp:posOffset>
                </wp:positionH>
                <wp:positionV relativeFrom="paragraph">
                  <wp:posOffset>306706</wp:posOffset>
                </wp:positionV>
                <wp:extent cx="6019800" cy="628650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6019800" cy="6286500"/>
                        </a:xfrm>
                        <a:prstGeom prst="rect">
                          <a:avLst/>
                        </a:prstGeom>
                        <a:solidFill>
                          <a:schemeClr val="lt1"/>
                        </a:solidFill>
                        <a:ln w="6350">
                          <a:solidFill>
                            <a:prstClr val="black"/>
                          </a:solidFill>
                        </a:ln>
                      </wps:spPr>
                      <wps:txbx>
                        <w:txbxContent>
                          <w:p w14:paraId="36F7FF63" w14:textId="77777777" w:rsidR="00EC7A77" w:rsidRDefault="00EC7A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58A6C7" id="_x0000_t202" coordsize="21600,21600" o:spt="202" path="m,l,21600r21600,l21600,xe">
                <v:stroke joinstyle="miter"/>
                <v:path gradientshapeok="t" o:connecttype="rect"/>
              </v:shapetype>
              <v:shape id="Text Box 5" o:spid="_x0000_s1026" type="#_x0000_t202" style="position:absolute;left:0;text-align:left;margin-left:-4.5pt;margin-top:24.15pt;width:474pt;height:49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" fillcolor="white [3201]" strokeweight=".5pt">
                <v:textbox>
                  <w:txbxContent>
                    <w:p w14:paraId="36F7FF63" w14:textId="77777777" w:rsidR="00EC7A77" w:rsidRDefault="00EC7A77"/>
                  </w:txbxContent>
                </v:textbox>
                <w10:wrap anchorx="margin"/>
              </v:shape>
            </w:pict>
          </mc:Fallback>
        </mc:AlternateContent>
      </w:r>
      <w:r w:rsidR="00E31644" w:rsidRPr="001F7008">
        <w:rPr>
          <w:rFonts w:eastAsia="Calibri"/>
          <w:sz w:val="22"/>
          <w:szCs w:val="22"/>
        </w:rPr>
        <w:t xml:space="preserve">4.1.c.1.E.1.  </w:t>
      </w:r>
      <w:r w:rsidR="00B71E55" w:rsidRPr="001F7008">
        <w:rPr>
          <w:rFonts w:eastAsia="Calibri"/>
          <w:sz w:val="22"/>
          <w:szCs w:val="22"/>
        </w:rPr>
        <w:t>1501.3 Referenced Standards</w:t>
      </w:r>
      <w:r w:rsidRPr="001F7008">
        <w:rPr>
          <w:rFonts w:eastAsia="Calibri"/>
          <w:sz w:val="22"/>
          <w:szCs w:val="22"/>
        </w:rPr>
        <w:t xml:space="preserve"> – See Table 1</w:t>
      </w:r>
    </w:p>
    <w:p w14:paraId="6FA345C7" w14:textId="7DE5900C" w:rsidR="00B71E55" w:rsidRPr="001F7008" w:rsidRDefault="00B71E55" w:rsidP="00B71E55">
      <w:pPr>
        <w:widowControl/>
        <w:autoSpaceDE/>
        <w:autoSpaceDN/>
        <w:adjustRightInd/>
        <w:spacing w:after="160" w:line="259" w:lineRule="auto"/>
        <w:ind w:left="4320" w:hanging="4320"/>
        <w:rPr>
          <w:rFonts w:eastAsia="Calibri"/>
          <w:sz w:val="22"/>
          <w:szCs w:val="22"/>
        </w:rPr>
      </w:pPr>
      <w:r w:rsidRPr="001F7008">
        <w:rPr>
          <w:rFonts w:eastAsia="Calibri"/>
          <w:sz w:val="22"/>
          <w:szCs w:val="22"/>
        </w:rPr>
        <w:t xml:space="preserve">ASHRAE </w:t>
      </w:r>
      <w:r w:rsidRPr="001F7008">
        <w:rPr>
          <w:rFonts w:eastAsia="Calibri"/>
          <w:sz w:val="22"/>
          <w:szCs w:val="22"/>
        </w:rPr>
        <w:tab/>
        <w:t>ASHRAE                                                                               1791 Tullie Circle, NE                                                                                                                                         Atlanta, GA 30329</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5"/>
        <w:gridCol w:w="5125"/>
      </w:tblGrid>
      <w:tr w:rsidR="00B71E55" w:rsidRPr="001F7008" w14:paraId="7CB2E6D5" w14:textId="77777777" w:rsidTr="000F7594">
        <w:tc>
          <w:tcPr>
            <w:tcW w:w="4225" w:type="dxa"/>
            <w:tcBorders>
              <w:top w:val="single" w:sz="4" w:space="0" w:color="auto"/>
              <w:bottom w:val="single" w:sz="4" w:space="0" w:color="auto"/>
            </w:tcBorders>
          </w:tcPr>
          <w:p w14:paraId="65B8CE37" w14:textId="77777777" w:rsidR="00B71E55" w:rsidRPr="001F7008" w:rsidRDefault="00B71E55" w:rsidP="00B71E55">
            <w:pPr>
              <w:widowControl/>
              <w:autoSpaceDE/>
              <w:autoSpaceDN/>
              <w:adjustRightInd/>
              <w:rPr>
                <w:sz w:val="22"/>
                <w:szCs w:val="22"/>
              </w:rPr>
            </w:pPr>
            <w:r w:rsidRPr="001F7008">
              <w:rPr>
                <w:sz w:val="22"/>
                <w:szCs w:val="22"/>
              </w:rPr>
              <w:t xml:space="preserve">Standard </w:t>
            </w:r>
          </w:p>
          <w:p w14:paraId="7DCBF59C" w14:textId="77777777" w:rsidR="00B71E55" w:rsidRPr="001F7008" w:rsidRDefault="00B71E55" w:rsidP="00B71E55">
            <w:pPr>
              <w:widowControl/>
              <w:autoSpaceDE/>
              <w:autoSpaceDN/>
              <w:adjustRightInd/>
              <w:rPr>
                <w:sz w:val="22"/>
                <w:szCs w:val="22"/>
              </w:rPr>
            </w:pPr>
            <w:r w:rsidRPr="001F7008">
              <w:rPr>
                <w:sz w:val="22"/>
                <w:szCs w:val="22"/>
              </w:rPr>
              <w:t xml:space="preserve">reference </w:t>
            </w:r>
          </w:p>
          <w:p w14:paraId="149A5584" w14:textId="77777777" w:rsidR="00B71E55" w:rsidRPr="001F7008" w:rsidRDefault="00B71E55" w:rsidP="00B71E55">
            <w:pPr>
              <w:widowControl/>
              <w:autoSpaceDE/>
              <w:autoSpaceDN/>
              <w:adjustRightInd/>
              <w:rPr>
                <w:sz w:val="22"/>
                <w:szCs w:val="22"/>
              </w:rPr>
            </w:pPr>
            <w:r w:rsidRPr="001F7008">
              <w:rPr>
                <w:sz w:val="22"/>
                <w:szCs w:val="22"/>
              </w:rPr>
              <w:t>number</w:t>
            </w:r>
          </w:p>
        </w:tc>
        <w:tc>
          <w:tcPr>
            <w:tcW w:w="5125" w:type="dxa"/>
            <w:tcBorders>
              <w:top w:val="single" w:sz="4" w:space="0" w:color="auto"/>
              <w:bottom w:val="single" w:sz="4" w:space="0" w:color="auto"/>
            </w:tcBorders>
          </w:tcPr>
          <w:p w14:paraId="7FCF5588" w14:textId="77777777" w:rsidR="00B71E55" w:rsidRPr="001F7008" w:rsidRDefault="00B71E55" w:rsidP="00B71E55">
            <w:pPr>
              <w:widowControl/>
              <w:autoSpaceDE/>
              <w:autoSpaceDN/>
              <w:adjustRightInd/>
              <w:rPr>
                <w:sz w:val="22"/>
                <w:szCs w:val="22"/>
              </w:rPr>
            </w:pPr>
          </w:p>
          <w:p w14:paraId="50114588" w14:textId="77777777" w:rsidR="00B71E55" w:rsidRPr="001F7008" w:rsidRDefault="00B71E55" w:rsidP="00B71E55">
            <w:pPr>
              <w:widowControl/>
              <w:autoSpaceDE/>
              <w:autoSpaceDN/>
              <w:adjustRightInd/>
              <w:rPr>
                <w:sz w:val="22"/>
                <w:szCs w:val="22"/>
              </w:rPr>
            </w:pPr>
          </w:p>
          <w:p w14:paraId="41A54773" w14:textId="77777777" w:rsidR="00B71E55" w:rsidRPr="001F7008" w:rsidRDefault="00B71E55" w:rsidP="00B71E55">
            <w:pPr>
              <w:widowControl/>
              <w:autoSpaceDE/>
              <w:autoSpaceDN/>
              <w:adjustRightInd/>
              <w:rPr>
                <w:sz w:val="22"/>
                <w:szCs w:val="22"/>
              </w:rPr>
            </w:pPr>
            <w:r w:rsidRPr="001F7008">
              <w:rPr>
                <w:sz w:val="22"/>
                <w:szCs w:val="22"/>
              </w:rPr>
              <w:t>Title</w:t>
            </w:r>
          </w:p>
        </w:tc>
      </w:tr>
    </w:tbl>
    <w:p w14:paraId="764E7455" w14:textId="77777777" w:rsidR="00B71E55" w:rsidRPr="001F7008" w:rsidRDefault="00B71E55" w:rsidP="00B71E55">
      <w:pPr>
        <w:widowControl/>
        <w:autoSpaceDE/>
        <w:autoSpaceDN/>
        <w:adjustRightInd/>
        <w:spacing w:after="160" w:line="259" w:lineRule="auto"/>
        <w:rPr>
          <w:rFonts w:eastAsia="Calibri"/>
          <w:sz w:val="22"/>
          <w:szCs w:val="22"/>
        </w:rPr>
      </w:pPr>
    </w:p>
    <w:p w14:paraId="3AD1E3EE" w14:textId="67A51C72" w:rsidR="00B71E55" w:rsidRPr="001F7008" w:rsidRDefault="00B71E55" w:rsidP="00B71E55">
      <w:pPr>
        <w:widowControl/>
        <w:autoSpaceDE/>
        <w:autoSpaceDN/>
        <w:adjustRightInd/>
        <w:spacing w:after="160" w:line="259" w:lineRule="auto"/>
        <w:rPr>
          <w:rFonts w:eastAsia="Calibri"/>
          <w:sz w:val="22"/>
          <w:szCs w:val="22"/>
        </w:rPr>
      </w:pPr>
      <w:r w:rsidRPr="001F7008">
        <w:rPr>
          <w:rFonts w:eastAsia="Calibri"/>
          <w:sz w:val="22"/>
          <w:szCs w:val="22"/>
        </w:rPr>
        <w:t>15</w:t>
      </w:r>
      <w:r w:rsidR="00BE7A00">
        <w:rPr>
          <w:rFonts w:eastAsia="Calibri"/>
          <w:sz w:val="22"/>
          <w:szCs w:val="22"/>
        </w:rPr>
        <w:t>-</w:t>
      </w:r>
      <w:r w:rsidRPr="001F7008">
        <w:rPr>
          <w:rFonts w:eastAsia="Calibri"/>
          <w:sz w:val="22"/>
          <w:szCs w:val="22"/>
        </w:rPr>
        <w:t>2019</w:t>
      </w:r>
      <w:r w:rsidRPr="001F7008">
        <w:rPr>
          <w:rFonts w:eastAsia="Calibri"/>
          <w:sz w:val="22"/>
          <w:szCs w:val="22"/>
        </w:rPr>
        <w:tab/>
      </w:r>
      <w:r w:rsidRPr="001F7008">
        <w:rPr>
          <w:rFonts w:eastAsia="Calibri"/>
          <w:sz w:val="22"/>
          <w:szCs w:val="22"/>
        </w:rPr>
        <w:tab/>
      </w:r>
      <w:r w:rsidRPr="001F7008">
        <w:rPr>
          <w:rFonts w:eastAsia="Calibri"/>
          <w:sz w:val="22"/>
          <w:szCs w:val="22"/>
        </w:rPr>
        <w:tab/>
      </w:r>
      <w:r w:rsidRPr="001F7008">
        <w:rPr>
          <w:rFonts w:eastAsia="Calibri"/>
          <w:sz w:val="22"/>
          <w:szCs w:val="22"/>
        </w:rPr>
        <w:tab/>
      </w:r>
      <w:r w:rsidRPr="001F7008">
        <w:rPr>
          <w:rFonts w:eastAsia="Calibri"/>
          <w:sz w:val="22"/>
          <w:szCs w:val="22"/>
        </w:rPr>
        <w:tab/>
        <w:t>Safety Standard for Refrigeration Systems</w:t>
      </w:r>
    </w:p>
    <w:p w14:paraId="2121EF77" w14:textId="40B2B818" w:rsidR="00B71E55" w:rsidRPr="001F7008" w:rsidRDefault="00B71E55" w:rsidP="00B71E55">
      <w:pPr>
        <w:widowControl/>
        <w:autoSpaceDE/>
        <w:autoSpaceDN/>
        <w:adjustRightInd/>
        <w:spacing w:after="160" w:line="259" w:lineRule="auto"/>
        <w:rPr>
          <w:rFonts w:eastAsia="Calibri"/>
          <w:sz w:val="22"/>
          <w:szCs w:val="22"/>
        </w:rPr>
      </w:pPr>
      <w:r w:rsidRPr="001F7008">
        <w:rPr>
          <w:rFonts w:eastAsia="Calibri"/>
          <w:sz w:val="22"/>
          <w:szCs w:val="22"/>
        </w:rPr>
        <w:lastRenderedPageBreak/>
        <w:t>34</w:t>
      </w:r>
      <w:r w:rsidR="00BE7A00">
        <w:rPr>
          <w:rFonts w:eastAsia="Calibri"/>
          <w:sz w:val="22"/>
          <w:szCs w:val="22"/>
        </w:rPr>
        <w:t>-</w:t>
      </w:r>
      <w:r w:rsidRPr="001F7008">
        <w:rPr>
          <w:rFonts w:eastAsia="Calibri"/>
          <w:sz w:val="22"/>
          <w:szCs w:val="22"/>
        </w:rPr>
        <w:t>2019</w:t>
      </w:r>
      <w:r w:rsidRPr="001F7008">
        <w:rPr>
          <w:rFonts w:eastAsia="Calibri"/>
          <w:sz w:val="22"/>
          <w:szCs w:val="22"/>
        </w:rPr>
        <w:tab/>
      </w:r>
      <w:r w:rsidRPr="001F7008">
        <w:rPr>
          <w:rFonts w:eastAsia="Calibri"/>
          <w:sz w:val="22"/>
          <w:szCs w:val="22"/>
        </w:rPr>
        <w:tab/>
      </w:r>
      <w:r w:rsidRPr="001F7008">
        <w:rPr>
          <w:rFonts w:eastAsia="Calibri"/>
          <w:sz w:val="22"/>
          <w:szCs w:val="22"/>
        </w:rPr>
        <w:tab/>
      </w:r>
      <w:r w:rsidRPr="001F7008">
        <w:rPr>
          <w:rFonts w:eastAsia="Calibri"/>
          <w:sz w:val="22"/>
          <w:szCs w:val="22"/>
        </w:rPr>
        <w:tab/>
      </w:r>
      <w:r w:rsidRPr="001F7008">
        <w:rPr>
          <w:rFonts w:eastAsia="Calibri"/>
          <w:sz w:val="22"/>
          <w:szCs w:val="22"/>
        </w:rPr>
        <w:tab/>
        <w:t>Designation and Safety Classification of Refrigerants</w:t>
      </w:r>
    </w:p>
    <w:p w14:paraId="2DEC5F14" w14:textId="77777777" w:rsidR="00B71E55" w:rsidRPr="001F7008" w:rsidRDefault="00B71E55" w:rsidP="00B71E55">
      <w:pPr>
        <w:widowControl/>
        <w:autoSpaceDE/>
        <w:autoSpaceDN/>
        <w:adjustRightInd/>
        <w:spacing w:after="160" w:line="259" w:lineRule="auto"/>
        <w:rPr>
          <w:rFonts w:eastAsia="Calibri"/>
          <w:sz w:val="22"/>
          <w:szCs w:val="22"/>
        </w:rPr>
      </w:pPr>
    </w:p>
    <w:p w14:paraId="60085A9B" w14:textId="77777777" w:rsidR="00B71E55" w:rsidRPr="001F7008" w:rsidRDefault="00B71E55" w:rsidP="00B71E55">
      <w:pPr>
        <w:widowControl/>
        <w:autoSpaceDE/>
        <w:autoSpaceDN/>
        <w:adjustRightInd/>
        <w:spacing w:after="160" w:line="259" w:lineRule="auto"/>
        <w:ind w:left="4320" w:hanging="4320"/>
        <w:rPr>
          <w:rFonts w:eastAsia="Calibri"/>
          <w:sz w:val="22"/>
          <w:szCs w:val="22"/>
        </w:rPr>
      </w:pPr>
      <w:r w:rsidRPr="001F7008">
        <w:rPr>
          <w:rFonts w:eastAsia="Calibri"/>
          <w:sz w:val="22"/>
          <w:szCs w:val="22"/>
        </w:rPr>
        <w:t xml:space="preserve">CSA </w:t>
      </w:r>
      <w:r w:rsidRPr="001F7008">
        <w:rPr>
          <w:rFonts w:eastAsia="Calibri"/>
          <w:sz w:val="22"/>
          <w:szCs w:val="22"/>
        </w:rPr>
        <w:tab/>
        <w:t>CSA Group                                                                                                                                                            8501 East Pleasant Valley Road                                                                                                                    Cleveland, OH 44131-5516</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5"/>
        <w:gridCol w:w="5125"/>
      </w:tblGrid>
      <w:tr w:rsidR="00B71E55" w:rsidRPr="001F7008" w14:paraId="52584DE6" w14:textId="77777777" w:rsidTr="000F7594">
        <w:tc>
          <w:tcPr>
            <w:tcW w:w="4225" w:type="dxa"/>
            <w:tcBorders>
              <w:top w:val="single" w:sz="4" w:space="0" w:color="auto"/>
              <w:bottom w:val="single" w:sz="4" w:space="0" w:color="auto"/>
            </w:tcBorders>
          </w:tcPr>
          <w:p w14:paraId="3B88CC11" w14:textId="77777777" w:rsidR="00B71E55" w:rsidRPr="001F7008" w:rsidRDefault="00B71E55" w:rsidP="00B71E55">
            <w:pPr>
              <w:widowControl/>
              <w:autoSpaceDE/>
              <w:autoSpaceDN/>
              <w:adjustRightInd/>
              <w:rPr>
                <w:sz w:val="22"/>
                <w:szCs w:val="22"/>
              </w:rPr>
            </w:pPr>
            <w:r w:rsidRPr="001F7008">
              <w:rPr>
                <w:sz w:val="22"/>
                <w:szCs w:val="22"/>
              </w:rPr>
              <w:t xml:space="preserve">Standard </w:t>
            </w:r>
          </w:p>
          <w:p w14:paraId="0A098743" w14:textId="77777777" w:rsidR="00B71E55" w:rsidRPr="001F7008" w:rsidRDefault="00B71E55" w:rsidP="00B71E55">
            <w:pPr>
              <w:widowControl/>
              <w:autoSpaceDE/>
              <w:autoSpaceDN/>
              <w:adjustRightInd/>
              <w:rPr>
                <w:sz w:val="22"/>
                <w:szCs w:val="22"/>
              </w:rPr>
            </w:pPr>
            <w:r w:rsidRPr="001F7008">
              <w:rPr>
                <w:sz w:val="22"/>
                <w:szCs w:val="22"/>
              </w:rPr>
              <w:t xml:space="preserve">reference </w:t>
            </w:r>
          </w:p>
          <w:p w14:paraId="2A96DC13" w14:textId="77777777" w:rsidR="00B71E55" w:rsidRPr="001F7008" w:rsidRDefault="00B71E55" w:rsidP="00B71E55">
            <w:pPr>
              <w:widowControl/>
              <w:autoSpaceDE/>
              <w:autoSpaceDN/>
              <w:adjustRightInd/>
              <w:rPr>
                <w:sz w:val="22"/>
                <w:szCs w:val="22"/>
              </w:rPr>
            </w:pPr>
            <w:r w:rsidRPr="001F7008">
              <w:rPr>
                <w:sz w:val="22"/>
                <w:szCs w:val="22"/>
              </w:rPr>
              <w:t>number</w:t>
            </w:r>
          </w:p>
        </w:tc>
        <w:tc>
          <w:tcPr>
            <w:tcW w:w="5125" w:type="dxa"/>
            <w:tcBorders>
              <w:top w:val="single" w:sz="4" w:space="0" w:color="auto"/>
              <w:bottom w:val="single" w:sz="4" w:space="0" w:color="auto"/>
            </w:tcBorders>
          </w:tcPr>
          <w:p w14:paraId="78858A5C" w14:textId="77777777" w:rsidR="00B71E55" w:rsidRPr="001F7008" w:rsidRDefault="00B71E55" w:rsidP="00B71E55">
            <w:pPr>
              <w:widowControl/>
              <w:autoSpaceDE/>
              <w:autoSpaceDN/>
              <w:adjustRightInd/>
              <w:rPr>
                <w:sz w:val="22"/>
                <w:szCs w:val="22"/>
              </w:rPr>
            </w:pPr>
          </w:p>
          <w:p w14:paraId="3619D3DF" w14:textId="77777777" w:rsidR="00B71E55" w:rsidRPr="001F7008" w:rsidRDefault="00B71E55" w:rsidP="00B71E55">
            <w:pPr>
              <w:widowControl/>
              <w:autoSpaceDE/>
              <w:autoSpaceDN/>
              <w:adjustRightInd/>
              <w:rPr>
                <w:sz w:val="22"/>
                <w:szCs w:val="22"/>
              </w:rPr>
            </w:pPr>
          </w:p>
          <w:p w14:paraId="17E1F3F2" w14:textId="77777777" w:rsidR="00B71E55" w:rsidRPr="001F7008" w:rsidRDefault="00B71E55" w:rsidP="00B71E55">
            <w:pPr>
              <w:widowControl/>
              <w:autoSpaceDE/>
              <w:autoSpaceDN/>
              <w:adjustRightInd/>
              <w:rPr>
                <w:sz w:val="22"/>
                <w:szCs w:val="22"/>
              </w:rPr>
            </w:pPr>
            <w:r w:rsidRPr="001F7008">
              <w:rPr>
                <w:sz w:val="22"/>
                <w:szCs w:val="22"/>
              </w:rPr>
              <w:t>Title</w:t>
            </w:r>
          </w:p>
        </w:tc>
      </w:tr>
    </w:tbl>
    <w:p w14:paraId="20B1593B" w14:textId="77777777" w:rsidR="00B71E55" w:rsidRPr="001F7008" w:rsidRDefault="00B71E55" w:rsidP="00B71E55">
      <w:pPr>
        <w:widowControl/>
        <w:autoSpaceDE/>
        <w:autoSpaceDN/>
        <w:adjustRightInd/>
        <w:spacing w:after="160" w:line="259" w:lineRule="auto"/>
        <w:rPr>
          <w:rFonts w:eastAsia="Calibri"/>
          <w:sz w:val="22"/>
          <w:szCs w:val="22"/>
        </w:rPr>
      </w:pPr>
    </w:p>
    <w:p w14:paraId="4EB8FCC2" w14:textId="77777777" w:rsidR="00B71E55" w:rsidRPr="001F7008" w:rsidRDefault="00B71E55" w:rsidP="00B71E55">
      <w:pPr>
        <w:widowControl/>
        <w:autoSpaceDE/>
        <w:autoSpaceDN/>
        <w:adjustRightInd/>
        <w:spacing w:after="160" w:line="259" w:lineRule="auto"/>
        <w:ind w:left="4320" w:hanging="4320"/>
        <w:rPr>
          <w:rFonts w:eastAsia="Calibri"/>
          <w:sz w:val="22"/>
          <w:szCs w:val="22"/>
        </w:rPr>
      </w:pPr>
      <w:r w:rsidRPr="001F7008">
        <w:rPr>
          <w:rFonts w:eastAsia="Calibri"/>
          <w:sz w:val="22"/>
          <w:szCs w:val="22"/>
        </w:rPr>
        <w:t xml:space="preserve">CSA C22.2 No. 60335-2-40—19 </w:t>
      </w:r>
      <w:r w:rsidRPr="001F7008">
        <w:rPr>
          <w:rFonts w:eastAsia="Calibri"/>
          <w:sz w:val="22"/>
          <w:szCs w:val="22"/>
        </w:rPr>
        <w:tab/>
        <w:t>Household And Similar Electrical Appliances - Safety - Part 2-40: Particular Requirements for Electrical Heat Pumps, Air-Conditioners and Dehumidifiers – 3</w:t>
      </w:r>
      <w:r w:rsidRPr="001F7008">
        <w:rPr>
          <w:rFonts w:eastAsia="Calibri"/>
          <w:sz w:val="22"/>
          <w:szCs w:val="22"/>
          <w:vertAlign w:val="superscript"/>
        </w:rPr>
        <w:t>rd</w:t>
      </w:r>
      <w:r w:rsidRPr="001F7008">
        <w:rPr>
          <w:rFonts w:eastAsia="Calibri"/>
          <w:sz w:val="22"/>
          <w:szCs w:val="22"/>
        </w:rPr>
        <w:t xml:space="preserve"> Edition</w:t>
      </w:r>
    </w:p>
    <w:p w14:paraId="29C56D87" w14:textId="77777777" w:rsidR="00B71E55" w:rsidRPr="001F7008" w:rsidRDefault="00B71E55" w:rsidP="00B71E55">
      <w:pPr>
        <w:widowControl/>
        <w:autoSpaceDE/>
        <w:autoSpaceDN/>
        <w:adjustRightInd/>
        <w:spacing w:after="160" w:line="259" w:lineRule="auto"/>
        <w:ind w:left="4320" w:hanging="4320"/>
        <w:rPr>
          <w:rFonts w:eastAsia="Calibri"/>
          <w:sz w:val="22"/>
          <w:szCs w:val="22"/>
        </w:rPr>
      </w:pPr>
      <w:r w:rsidRPr="001F7008">
        <w:rPr>
          <w:rFonts w:eastAsia="Calibri"/>
          <w:sz w:val="22"/>
          <w:szCs w:val="22"/>
        </w:rPr>
        <w:t xml:space="preserve">CSA C22.2 No. 60335-2-89—21 </w:t>
      </w:r>
      <w:r w:rsidRPr="001F7008">
        <w:rPr>
          <w:rFonts w:eastAsia="Calibri"/>
          <w:sz w:val="22"/>
          <w:szCs w:val="22"/>
        </w:rPr>
        <w:tab/>
        <w:t>Household And Similar Electrical Appliances - Safety - Part 2-89: Particular Requirements for Commercial Refrigerating Appliances with an Incorporated or Remote Refrigerant Unit or Compressor</w:t>
      </w:r>
    </w:p>
    <w:p w14:paraId="16079FB9" w14:textId="0FC44EE1" w:rsidR="00B71E55" w:rsidRPr="001F7008" w:rsidRDefault="00EC7A77" w:rsidP="001F7008">
      <w:pPr>
        <w:widowControl/>
        <w:autoSpaceDE/>
        <w:autoSpaceDN/>
        <w:adjustRightInd/>
        <w:spacing w:after="160" w:line="259" w:lineRule="auto"/>
        <w:ind w:left="4320" w:hanging="4320"/>
        <w:jc w:val="center"/>
        <w:rPr>
          <w:rFonts w:eastAsia="Calibri"/>
          <w:sz w:val="22"/>
          <w:szCs w:val="22"/>
        </w:rPr>
      </w:pPr>
      <w:r w:rsidRPr="001F7008">
        <w:rPr>
          <w:rFonts w:eastAsia="Calibri"/>
          <w:sz w:val="22"/>
          <w:szCs w:val="22"/>
        </w:rPr>
        <w:t>Table 1</w:t>
      </w:r>
    </w:p>
    <w:p w14:paraId="3D874137" w14:textId="0B3E594B" w:rsidR="00B71E55" w:rsidRPr="001F7008" w:rsidRDefault="00B5780E" w:rsidP="00B71E55">
      <w:pPr>
        <w:widowControl/>
        <w:autoSpaceDE/>
        <w:autoSpaceDN/>
        <w:adjustRightInd/>
        <w:spacing w:after="160" w:line="259" w:lineRule="auto"/>
        <w:ind w:left="4320" w:hanging="4320"/>
        <w:rPr>
          <w:rFonts w:eastAsia="Calibri"/>
          <w:sz w:val="22"/>
          <w:szCs w:val="22"/>
        </w:rPr>
      </w:pPr>
      <w:r w:rsidRPr="001F7008">
        <w:rPr>
          <w:rFonts w:eastAsia="Calibri"/>
          <w:noProof/>
          <w:sz w:val="22"/>
          <w:szCs w:val="22"/>
        </w:rPr>
        <mc:AlternateContent>
          <mc:Choice Requires="wps">
            <w:drawing>
              <wp:anchor distT="0" distB="0" distL="114300" distR="114300" simplePos="0" relativeHeight="251660288" behindDoc="1" locked="0" layoutInCell="1" allowOverlap="1" wp14:anchorId="62D0BC24" wp14:editId="2A1D5CA6">
                <wp:simplePos x="0" y="0"/>
                <wp:positionH relativeFrom="column">
                  <wp:posOffset>-57150</wp:posOffset>
                </wp:positionH>
                <wp:positionV relativeFrom="paragraph">
                  <wp:posOffset>-25400</wp:posOffset>
                </wp:positionV>
                <wp:extent cx="6029325" cy="3619500"/>
                <wp:effectExtent l="0" t="0" r="28575" b="19050"/>
                <wp:wrapNone/>
                <wp:docPr id="7" name="Text Box 7"/>
                <wp:cNvGraphicFramePr/>
                <a:graphic xmlns:a="http://schemas.openxmlformats.org/drawingml/2006/main">
                  <a:graphicData uri="http://schemas.microsoft.com/office/word/2010/wordprocessingShape">
                    <wps:wsp>
                      <wps:cNvSpPr txBox="1"/>
                      <wps:spPr>
                        <a:xfrm>
                          <a:off x="0" y="0"/>
                          <a:ext cx="6029325" cy="3619500"/>
                        </a:xfrm>
                        <a:prstGeom prst="rect">
                          <a:avLst/>
                        </a:prstGeom>
                        <a:solidFill>
                          <a:schemeClr val="lt1"/>
                        </a:solidFill>
                        <a:ln w="6350">
                          <a:solidFill>
                            <a:prstClr val="black"/>
                          </a:solidFill>
                        </a:ln>
                      </wps:spPr>
                      <wps:txbx>
                        <w:txbxContent>
                          <w:p w14:paraId="1F1258BD" w14:textId="77777777" w:rsidR="00B5780E" w:rsidRDefault="00B5780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2D0BC24" id="Text Box 7" o:spid="_x0000_s1027" type="#_x0000_t202" style="position:absolute;left:0;text-align:left;margin-left:-4.5pt;margin-top:-2pt;width:474.75pt;height:28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" fillcolor="white [3201]" strokeweight=".5pt">
                <v:textbox>
                  <w:txbxContent>
                    <w:p w14:paraId="1F1258BD" w14:textId="77777777" w:rsidR="00B5780E" w:rsidRDefault="00B5780E"/>
                  </w:txbxContent>
                </v:textbox>
              </v:shape>
            </w:pict>
          </mc:Fallback>
        </mc:AlternateContent>
      </w:r>
      <w:r w:rsidR="00B71E55" w:rsidRPr="001F7008">
        <w:rPr>
          <w:rFonts w:eastAsia="Calibri"/>
          <w:sz w:val="22"/>
          <w:szCs w:val="22"/>
        </w:rPr>
        <w:t xml:space="preserve">UL </w:t>
      </w:r>
      <w:r w:rsidR="00B71E55" w:rsidRPr="001F7008">
        <w:rPr>
          <w:rFonts w:eastAsia="Calibri"/>
          <w:sz w:val="22"/>
          <w:szCs w:val="22"/>
        </w:rPr>
        <w:tab/>
        <w:t>UL LLC                                                                        333 Pfingsten Road                                                                                                                                     Northbrook, IL 60062-2096</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5"/>
        <w:gridCol w:w="5125"/>
      </w:tblGrid>
      <w:tr w:rsidR="00B71E55" w:rsidRPr="001F7008" w14:paraId="189227C5" w14:textId="77777777" w:rsidTr="000F7594">
        <w:tc>
          <w:tcPr>
            <w:tcW w:w="4225" w:type="dxa"/>
            <w:tcBorders>
              <w:top w:val="single" w:sz="4" w:space="0" w:color="auto"/>
              <w:bottom w:val="single" w:sz="4" w:space="0" w:color="auto"/>
            </w:tcBorders>
          </w:tcPr>
          <w:p w14:paraId="08DDBFFD" w14:textId="77777777" w:rsidR="00B71E55" w:rsidRPr="001F7008" w:rsidRDefault="00B71E55" w:rsidP="00B71E55">
            <w:pPr>
              <w:widowControl/>
              <w:autoSpaceDE/>
              <w:autoSpaceDN/>
              <w:adjustRightInd/>
              <w:rPr>
                <w:sz w:val="22"/>
                <w:szCs w:val="22"/>
              </w:rPr>
            </w:pPr>
            <w:r w:rsidRPr="001F7008">
              <w:rPr>
                <w:sz w:val="22"/>
                <w:szCs w:val="22"/>
              </w:rPr>
              <w:t xml:space="preserve">Standard </w:t>
            </w:r>
          </w:p>
          <w:p w14:paraId="3E1AFAB1" w14:textId="77777777" w:rsidR="00B71E55" w:rsidRPr="001F7008" w:rsidRDefault="00B71E55" w:rsidP="00B71E55">
            <w:pPr>
              <w:widowControl/>
              <w:autoSpaceDE/>
              <w:autoSpaceDN/>
              <w:adjustRightInd/>
              <w:rPr>
                <w:sz w:val="22"/>
                <w:szCs w:val="22"/>
              </w:rPr>
            </w:pPr>
            <w:r w:rsidRPr="001F7008">
              <w:rPr>
                <w:sz w:val="22"/>
                <w:szCs w:val="22"/>
              </w:rPr>
              <w:t xml:space="preserve">reference </w:t>
            </w:r>
          </w:p>
          <w:p w14:paraId="2C103178" w14:textId="77777777" w:rsidR="00B71E55" w:rsidRPr="001F7008" w:rsidRDefault="00B71E55" w:rsidP="00B71E55">
            <w:pPr>
              <w:widowControl/>
              <w:autoSpaceDE/>
              <w:autoSpaceDN/>
              <w:adjustRightInd/>
              <w:rPr>
                <w:sz w:val="22"/>
                <w:szCs w:val="22"/>
              </w:rPr>
            </w:pPr>
            <w:r w:rsidRPr="001F7008">
              <w:rPr>
                <w:sz w:val="22"/>
                <w:szCs w:val="22"/>
              </w:rPr>
              <w:t>number</w:t>
            </w:r>
          </w:p>
        </w:tc>
        <w:tc>
          <w:tcPr>
            <w:tcW w:w="5125" w:type="dxa"/>
            <w:tcBorders>
              <w:top w:val="single" w:sz="4" w:space="0" w:color="auto"/>
              <w:bottom w:val="single" w:sz="4" w:space="0" w:color="auto"/>
            </w:tcBorders>
          </w:tcPr>
          <w:p w14:paraId="044681EB" w14:textId="77777777" w:rsidR="00B71E55" w:rsidRPr="001F7008" w:rsidRDefault="00B71E55" w:rsidP="00B71E55">
            <w:pPr>
              <w:widowControl/>
              <w:autoSpaceDE/>
              <w:autoSpaceDN/>
              <w:adjustRightInd/>
              <w:rPr>
                <w:sz w:val="22"/>
                <w:szCs w:val="22"/>
              </w:rPr>
            </w:pPr>
          </w:p>
          <w:p w14:paraId="1FF2C620" w14:textId="77777777" w:rsidR="00B71E55" w:rsidRPr="001F7008" w:rsidRDefault="00B71E55" w:rsidP="00B71E55">
            <w:pPr>
              <w:widowControl/>
              <w:autoSpaceDE/>
              <w:autoSpaceDN/>
              <w:adjustRightInd/>
              <w:rPr>
                <w:sz w:val="22"/>
                <w:szCs w:val="22"/>
              </w:rPr>
            </w:pPr>
          </w:p>
          <w:p w14:paraId="3FA7847B" w14:textId="77777777" w:rsidR="00B71E55" w:rsidRPr="001F7008" w:rsidRDefault="00B71E55" w:rsidP="00B71E55">
            <w:pPr>
              <w:widowControl/>
              <w:autoSpaceDE/>
              <w:autoSpaceDN/>
              <w:adjustRightInd/>
              <w:rPr>
                <w:sz w:val="22"/>
                <w:szCs w:val="22"/>
              </w:rPr>
            </w:pPr>
            <w:r w:rsidRPr="001F7008">
              <w:rPr>
                <w:sz w:val="22"/>
                <w:szCs w:val="22"/>
              </w:rPr>
              <w:t>Title</w:t>
            </w:r>
          </w:p>
        </w:tc>
      </w:tr>
    </w:tbl>
    <w:p w14:paraId="3A0C762D" w14:textId="77777777" w:rsidR="00B71E55" w:rsidRPr="001F7008" w:rsidRDefault="00B71E55" w:rsidP="00B71E55">
      <w:pPr>
        <w:widowControl/>
        <w:autoSpaceDE/>
        <w:autoSpaceDN/>
        <w:adjustRightInd/>
        <w:spacing w:after="160" w:line="259" w:lineRule="auto"/>
        <w:rPr>
          <w:rFonts w:eastAsia="Calibri"/>
          <w:sz w:val="22"/>
          <w:szCs w:val="22"/>
        </w:rPr>
      </w:pPr>
    </w:p>
    <w:p w14:paraId="0B1E6C60" w14:textId="77777777" w:rsidR="00B71E55" w:rsidRPr="001F7008" w:rsidRDefault="00B71E55" w:rsidP="00B71E55">
      <w:pPr>
        <w:widowControl/>
        <w:autoSpaceDE/>
        <w:autoSpaceDN/>
        <w:adjustRightInd/>
        <w:spacing w:after="160" w:line="259" w:lineRule="auto"/>
        <w:ind w:left="4320" w:hanging="4320"/>
        <w:rPr>
          <w:rFonts w:eastAsia="Calibri"/>
          <w:sz w:val="22"/>
          <w:szCs w:val="22"/>
        </w:rPr>
      </w:pPr>
      <w:bookmarkStart w:id="0" w:name="_Hlk38526394"/>
      <w:r w:rsidRPr="001F7008">
        <w:rPr>
          <w:rFonts w:eastAsia="Calibri"/>
          <w:sz w:val="22"/>
          <w:szCs w:val="22"/>
        </w:rPr>
        <w:t xml:space="preserve">UL/CSA 60335-2-40—19 </w:t>
      </w:r>
      <w:r w:rsidRPr="001F7008">
        <w:rPr>
          <w:rFonts w:eastAsia="Calibri"/>
          <w:sz w:val="22"/>
          <w:szCs w:val="22"/>
        </w:rPr>
        <w:tab/>
        <w:t>Household And Similar Electrical Appliances - Safety - Part 2-40: Particular Requirements for Electrical Heat Pumps, Air-Conditioners and Dehumidifiers – 3</w:t>
      </w:r>
      <w:r w:rsidRPr="001F7008">
        <w:rPr>
          <w:rFonts w:eastAsia="Calibri"/>
          <w:sz w:val="22"/>
          <w:szCs w:val="22"/>
          <w:vertAlign w:val="superscript"/>
        </w:rPr>
        <w:t>rd</w:t>
      </w:r>
      <w:r w:rsidRPr="001F7008">
        <w:rPr>
          <w:rFonts w:eastAsia="Calibri"/>
          <w:sz w:val="22"/>
          <w:szCs w:val="22"/>
        </w:rPr>
        <w:t xml:space="preserve"> Edition</w:t>
      </w:r>
    </w:p>
    <w:bookmarkEnd w:id="0"/>
    <w:p w14:paraId="2930520E" w14:textId="240605D0" w:rsidR="00B71E55" w:rsidRPr="001F7008" w:rsidRDefault="00B71E55" w:rsidP="00B71E55">
      <w:pPr>
        <w:widowControl/>
        <w:autoSpaceDE/>
        <w:autoSpaceDN/>
        <w:adjustRightInd/>
        <w:spacing w:after="160" w:line="259" w:lineRule="auto"/>
        <w:ind w:left="4320" w:hanging="4320"/>
        <w:rPr>
          <w:rFonts w:eastAsia="Calibri"/>
          <w:sz w:val="22"/>
          <w:szCs w:val="22"/>
        </w:rPr>
      </w:pPr>
      <w:r w:rsidRPr="001F7008">
        <w:rPr>
          <w:rFonts w:eastAsia="Calibri"/>
          <w:sz w:val="22"/>
          <w:szCs w:val="22"/>
        </w:rPr>
        <w:t xml:space="preserve">UL/CSA 60335-2-89—21 </w:t>
      </w:r>
      <w:r w:rsidRPr="001F7008">
        <w:rPr>
          <w:rFonts w:eastAsia="Calibri"/>
          <w:sz w:val="22"/>
          <w:szCs w:val="22"/>
        </w:rPr>
        <w:tab/>
        <w:t>Household And Similar Electrical Appliances - Safety - Part 2-89: Particular Requirements for Commercial Refrigerating Appliances with an Incorporated or Remote Refrigerant Unit or Compressor</w:t>
      </w:r>
    </w:p>
    <w:p w14:paraId="5F41D00B" w14:textId="1E904456" w:rsidR="001F7008" w:rsidRDefault="001F7008" w:rsidP="00B71E55">
      <w:pPr>
        <w:widowControl/>
        <w:autoSpaceDE/>
        <w:autoSpaceDN/>
        <w:adjustRightInd/>
        <w:spacing w:after="160" w:line="259" w:lineRule="auto"/>
        <w:ind w:left="4320" w:hanging="4320"/>
        <w:rPr>
          <w:rFonts w:eastAsia="Calibri"/>
          <w:sz w:val="22"/>
          <w:szCs w:val="22"/>
        </w:rPr>
      </w:pPr>
    </w:p>
    <w:p w14:paraId="2B2D8C62" w14:textId="77777777" w:rsidR="001F7008" w:rsidRDefault="001F7008" w:rsidP="00B71E55">
      <w:pPr>
        <w:widowControl/>
        <w:autoSpaceDE/>
        <w:autoSpaceDN/>
        <w:adjustRightInd/>
        <w:spacing w:after="160" w:line="259" w:lineRule="auto"/>
        <w:ind w:left="4320" w:hanging="4320"/>
        <w:rPr>
          <w:rFonts w:eastAsia="Calibri"/>
          <w:sz w:val="22"/>
          <w:szCs w:val="22"/>
        </w:rPr>
      </w:pPr>
    </w:p>
    <w:p w14:paraId="06066C8E" w14:textId="77777777" w:rsidR="001F7008" w:rsidRDefault="001F7008" w:rsidP="00B71E55">
      <w:pPr>
        <w:widowControl/>
        <w:autoSpaceDE/>
        <w:autoSpaceDN/>
        <w:adjustRightInd/>
        <w:spacing w:after="160" w:line="259" w:lineRule="auto"/>
        <w:ind w:left="4320" w:hanging="4320"/>
        <w:rPr>
          <w:rFonts w:eastAsia="Calibri"/>
          <w:sz w:val="22"/>
          <w:szCs w:val="22"/>
        </w:rPr>
      </w:pPr>
    </w:p>
    <w:p w14:paraId="0CAA06EC" w14:textId="77777777" w:rsidR="001F7008" w:rsidRDefault="001F7008" w:rsidP="00B71E55">
      <w:pPr>
        <w:widowControl/>
        <w:autoSpaceDE/>
        <w:autoSpaceDN/>
        <w:adjustRightInd/>
        <w:spacing w:after="160" w:line="259" w:lineRule="auto"/>
        <w:ind w:left="4320" w:hanging="4320"/>
        <w:rPr>
          <w:rFonts w:eastAsia="Calibri"/>
          <w:sz w:val="22"/>
          <w:szCs w:val="22"/>
        </w:rPr>
      </w:pPr>
    </w:p>
    <w:p w14:paraId="1619B97B" w14:textId="71D83DB5" w:rsidR="00EC7A77" w:rsidRPr="001F7008" w:rsidRDefault="00EC7A77" w:rsidP="001F7008">
      <w:pPr>
        <w:widowControl/>
        <w:autoSpaceDE/>
        <w:autoSpaceDN/>
        <w:adjustRightInd/>
        <w:spacing w:after="160" w:line="259" w:lineRule="auto"/>
        <w:ind w:left="4320" w:hanging="4320"/>
        <w:jc w:val="center"/>
        <w:rPr>
          <w:rFonts w:eastAsia="Calibri"/>
          <w:sz w:val="22"/>
          <w:szCs w:val="22"/>
        </w:rPr>
      </w:pPr>
      <w:r w:rsidRPr="001F7008">
        <w:rPr>
          <w:rFonts w:eastAsia="Calibri"/>
          <w:sz w:val="22"/>
          <w:szCs w:val="22"/>
        </w:rPr>
        <w:t>Table 1</w:t>
      </w:r>
    </w:p>
    <w:p w14:paraId="432DCE64" w14:textId="00851103"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lastRenderedPageBreak/>
        <w:tab/>
      </w:r>
      <w:r>
        <w:rPr>
          <w:rFonts w:eastAsia="PMingLiU"/>
          <w:sz w:val="22"/>
          <w:szCs w:val="22"/>
        </w:rPr>
        <w:tab/>
      </w:r>
      <w:r w:rsidR="00511F20" w:rsidRPr="001F7008">
        <w:rPr>
          <w:rFonts w:eastAsia="PMingLiU"/>
          <w:sz w:val="22"/>
          <w:szCs w:val="22"/>
        </w:rPr>
        <w:t xml:space="preserve">4.1.d.  The </w:t>
      </w:r>
      <w:r w:rsidR="00E45959" w:rsidRPr="001F7008">
        <w:rPr>
          <w:rFonts w:eastAsia="Calibri"/>
          <w:sz w:val="22"/>
          <w:szCs w:val="22"/>
        </w:rPr>
        <w:t xml:space="preserve">2018 </w:t>
      </w:r>
      <w:r w:rsidR="00511F20" w:rsidRPr="001F7008">
        <w:rPr>
          <w:rFonts w:eastAsia="PMingLiU"/>
          <w:sz w:val="22"/>
          <w:szCs w:val="22"/>
        </w:rPr>
        <w:t>edition of the International Fuel Gas Code, with the following exception:</w:t>
      </w:r>
    </w:p>
    <w:p w14:paraId="4F53B8D4"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9E68970" w14:textId="21B60F3B"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004F37" w:rsidRPr="001F7008">
        <w:rPr>
          <w:rFonts w:eastAsia="PMingLiU"/>
          <w:sz w:val="22"/>
          <w:szCs w:val="22"/>
        </w:rPr>
        <w:t>4.1.d.1.</w:t>
      </w:r>
      <w:r w:rsidR="00702DC1">
        <w:rPr>
          <w:rFonts w:eastAsia="PMingLiU"/>
          <w:sz w:val="22"/>
          <w:szCs w:val="22"/>
        </w:rPr>
        <w:t xml:space="preserve"> </w:t>
      </w:r>
      <w:r w:rsidR="00004F37" w:rsidRPr="001F7008">
        <w:rPr>
          <w:rFonts w:eastAsia="PMingLiU"/>
          <w:sz w:val="22"/>
          <w:szCs w:val="22"/>
        </w:rPr>
        <w:t xml:space="preserve"> </w:t>
      </w:r>
      <w:r w:rsidR="00511F20" w:rsidRPr="001F7008">
        <w:rPr>
          <w:rFonts w:eastAsia="PMingLiU"/>
          <w:sz w:val="22"/>
          <w:szCs w:val="22"/>
        </w:rPr>
        <w:t>Section 404.10 Underground piping systems shall be installed a minimum depth of 12 inches (305 mm) below grade.  If the minimum depth cannot be maintained, the piping system shall be installed in conduit or shielded in an approved manner.</w:t>
      </w:r>
    </w:p>
    <w:p w14:paraId="7C336127"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A2322B5" w14:textId="395804BA"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sidR="00511F20" w:rsidRPr="00E81DE1">
        <w:rPr>
          <w:rFonts w:eastAsia="PMingLiU"/>
          <w:sz w:val="22"/>
          <w:szCs w:val="22"/>
        </w:rPr>
        <w:t xml:space="preserve">4.1.e.  The </w:t>
      </w:r>
      <w:r w:rsidR="00E45959" w:rsidRPr="001F7008">
        <w:rPr>
          <w:rFonts w:eastAsia="Calibri"/>
          <w:sz w:val="22"/>
          <w:szCs w:val="22"/>
        </w:rPr>
        <w:t>2018</w:t>
      </w:r>
      <w:r w:rsidR="00E45959" w:rsidRPr="001F7008">
        <w:rPr>
          <w:rFonts w:eastAsia="PMingLiU"/>
          <w:sz w:val="22"/>
          <w:szCs w:val="22"/>
        </w:rPr>
        <w:t xml:space="preserve"> </w:t>
      </w:r>
      <w:r w:rsidR="00511F20" w:rsidRPr="001F7008">
        <w:rPr>
          <w:rFonts w:eastAsia="PMingLiU"/>
          <w:sz w:val="22"/>
          <w:szCs w:val="22"/>
        </w:rPr>
        <w:t>edition of the International Property Mainten</w:t>
      </w:r>
      <w:r w:rsidR="00F77A13" w:rsidRPr="001F7008">
        <w:rPr>
          <w:rFonts w:eastAsia="PMingLiU"/>
          <w:sz w:val="22"/>
          <w:szCs w:val="22"/>
        </w:rPr>
        <w:t>ance Code. This c</w:t>
      </w:r>
      <w:r w:rsidR="00511F20" w:rsidRPr="001F7008">
        <w:rPr>
          <w:rFonts w:eastAsia="PMingLiU"/>
          <w:sz w:val="22"/>
          <w:szCs w:val="22"/>
        </w:rPr>
        <w:t>ode may be rejected at the option of the local jurisdiction.</w:t>
      </w:r>
    </w:p>
    <w:p w14:paraId="00F42C41" w14:textId="77777777"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41296D1" w14:textId="2C169E1A"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155A5C" w:rsidRPr="001F7008">
        <w:rPr>
          <w:rFonts w:eastAsia="PMingLiU"/>
          <w:sz w:val="22"/>
          <w:szCs w:val="22"/>
        </w:rPr>
        <w:t>4.1.e.</w:t>
      </w:r>
      <w:r w:rsidR="00F36CF9">
        <w:rPr>
          <w:rFonts w:eastAsia="PMingLiU"/>
          <w:sz w:val="22"/>
          <w:szCs w:val="22"/>
        </w:rPr>
        <w:t>1</w:t>
      </w:r>
      <w:r w:rsidR="00155A5C" w:rsidRPr="001F7008">
        <w:rPr>
          <w:rFonts w:eastAsia="PMingLiU"/>
          <w:sz w:val="22"/>
          <w:szCs w:val="22"/>
        </w:rPr>
        <w:t xml:space="preserve">.  </w:t>
      </w:r>
      <w:r w:rsidR="00511F20" w:rsidRPr="001F7008">
        <w:rPr>
          <w:rFonts w:eastAsia="PMingLiU"/>
          <w:sz w:val="22"/>
          <w:szCs w:val="22"/>
        </w:rPr>
        <w:t xml:space="preserve">This code may be adopted by the local jurisdiction without requiring adoption of the other national codes and standards listed in this </w:t>
      </w:r>
      <w:r w:rsidR="00C810AA" w:rsidRPr="001F7008">
        <w:rPr>
          <w:rFonts w:eastAsia="PMingLiU"/>
          <w:sz w:val="22"/>
          <w:szCs w:val="22"/>
        </w:rPr>
        <w:t>rule</w:t>
      </w:r>
      <w:r w:rsidR="00511F20" w:rsidRPr="001F7008">
        <w:rPr>
          <w:rFonts w:eastAsia="PMingLiU"/>
          <w:sz w:val="22"/>
          <w:szCs w:val="22"/>
        </w:rPr>
        <w:t>.</w:t>
      </w:r>
    </w:p>
    <w:p w14:paraId="28308BDF"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7BBC3D2" w14:textId="77777777"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sidR="00511F20" w:rsidRPr="001F7008">
        <w:rPr>
          <w:rFonts w:eastAsia="PMingLiU"/>
          <w:sz w:val="22"/>
          <w:szCs w:val="22"/>
        </w:rPr>
        <w:t xml:space="preserve">4.1.f.  The </w:t>
      </w:r>
      <w:r w:rsidR="00E45959" w:rsidRPr="001F7008">
        <w:rPr>
          <w:rFonts w:eastAsia="Calibri"/>
          <w:sz w:val="22"/>
          <w:szCs w:val="22"/>
        </w:rPr>
        <w:t>2015</w:t>
      </w:r>
      <w:r w:rsidR="007F4CBD" w:rsidRPr="001F7008">
        <w:rPr>
          <w:rFonts w:eastAsia="PMingLiU"/>
          <w:sz w:val="22"/>
          <w:szCs w:val="22"/>
        </w:rPr>
        <w:t xml:space="preserve"> </w:t>
      </w:r>
      <w:r w:rsidR="00511F20" w:rsidRPr="001F7008">
        <w:rPr>
          <w:rFonts w:eastAsia="PMingLiU"/>
          <w:sz w:val="22"/>
          <w:szCs w:val="22"/>
        </w:rPr>
        <w:t>edition of the International Energy Conservation Code for residential buildings</w:t>
      </w:r>
      <w:r w:rsidR="008168AE" w:rsidRPr="001F7008">
        <w:rPr>
          <w:rFonts w:eastAsia="PMingLiU"/>
          <w:sz w:val="22"/>
          <w:szCs w:val="22"/>
        </w:rPr>
        <w:t>, with the following exception:</w:t>
      </w:r>
    </w:p>
    <w:p w14:paraId="38201DAF" w14:textId="77777777"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33ACA17" w14:textId="099D3C5B" w:rsidR="008168AE"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8168AE" w:rsidRPr="001F7008">
        <w:rPr>
          <w:rFonts w:eastAsia="PMingLiU"/>
          <w:sz w:val="22"/>
          <w:szCs w:val="22"/>
        </w:rPr>
        <w:t xml:space="preserve">4.1.f.1.  Section, R402.4.1.2. Testing.  The building or dwelling unit shall </w:t>
      </w:r>
      <w:r w:rsidR="00C27A8E" w:rsidRPr="001F7008">
        <w:rPr>
          <w:rFonts w:eastAsia="PMingLiU"/>
          <w:sz w:val="22"/>
          <w:szCs w:val="22"/>
        </w:rPr>
        <w:t xml:space="preserve">in lieu thereof </w:t>
      </w:r>
      <w:r w:rsidR="001F7008">
        <w:rPr>
          <w:rFonts w:eastAsia="PMingLiU"/>
          <w:sz w:val="22"/>
          <w:szCs w:val="22"/>
        </w:rPr>
        <w:t>have an air leakage rate not exceeding five air changes per hour in Climate Zones 3 through 8</w:t>
      </w:r>
      <w:r w:rsidR="008168AE" w:rsidRPr="001F7008">
        <w:rPr>
          <w:rFonts w:eastAsia="PMingLiU"/>
          <w:sz w:val="22"/>
          <w:szCs w:val="22"/>
        </w:rPr>
        <w:t>.</w:t>
      </w:r>
    </w:p>
    <w:p w14:paraId="6EDC8163"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trike/>
          <w:sz w:val="22"/>
          <w:szCs w:val="22"/>
        </w:rPr>
      </w:pPr>
    </w:p>
    <w:p w14:paraId="1C5CAB87" w14:textId="415F1D24"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sidR="00511F20" w:rsidRPr="001F7008">
        <w:rPr>
          <w:rFonts w:eastAsia="PMingLiU"/>
          <w:sz w:val="22"/>
          <w:szCs w:val="22"/>
        </w:rPr>
        <w:t>4.1.g</w:t>
      </w:r>
      <w:r w:rsidR="00092E4B" w:rsidRPr="001F7008">
        <w:rPr>
          <w:rFonts w:eastAsia="PMingLiU"/>
          <w:sz w:val="22"/>
          <w:szCs w:val="22"/>
        </w:rPr>
        <w:t>.</w:t>
      </w:r>
      <w:r w:rsidR="00511F20" w:rsidRPr="001F7008">
        <w:rPr>
          <w:rFonts w:eastAsia="PMingLiU"/>
          <w:sz w:val="22"/>
          <w:szCs w:val="22"/>
        </w:rPr>
        <w:t xml:space="preserve">  The ANSI/ASHRAE/IESNA Standard 90.1</w:t>
      </w:r>
      <w:r w:rsidR="006B57CB" w:rsidRPr="001F7008">
        <w:rPr>
          <w:rFonts w:eastAsia="PMingLiU"/>
          <w:sz w:val="22"/>
          <w:szCs w:val="22"/>
        </w:rPr>
        <w:t xml:space="preserve"> </w:t>
      </w:r>
      <w:r w:rsidR="00E45959" w:rsidRPr="001F7008">
        <w:rPr>
          <w:rFonts w:eastAsia="Calibri"/>
          <w:sz w:val="22"/>
          <w:szCs w:val="22"/>
        </w:rPr>
        <w:t>2013</w:t>
      </w:r>
      <w:r w:rsidR="00E45959" w:rsidRPr="001F7008">
        <w:rPr>
          <w:rFonts w:eastAsia="PMingLiU"/>
          <w:sz w:val="22"/>
          <w:szCs w:val="22"/>
        </w:rPr>
        <w:t xml:space="preserve"> </w:t>
      </w:r>
      <w:r w:rsidR="0097556B" w:rsidRPr="001F7008">
        <w:rPr>
          <w:rFonts w:eastAsia="PMingLiU"/>
          <w:sz w:val="22"/>
          <w:szCs w:val="22"/>
        </w:rPr>
        <w:t>e</w:t>
      </w:r>
      <w:r w:rsidR="00511F20" w:rsidRPr="001F7008">
        <w:rPr>
          <w:rFonts w:eastAsia="PMingLiU"/>
          <w:sz w:val="22"/>
          <w:szCs w:val="22"/>
        </w:rPr>
        <w:t>dition for commercial buildings.</w:t>
      </w:r>
    </w:p>
    <w:p w14:paraId="3B0F3A45" w14:textId="523B2CF3" w:rsidR="008168AE" w:rsidRPr="001F7008" w:rsidRDefault="008168AE" w:rsidP="00702DC1">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33855D8" w14:textId="7C651756" w:rsidR="008168AE"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8168AE" w:rsidRPr="001F7008">
        <w:rPr>
          <w:rFonts w:eastAsia="PMingLiU"/>
          <w:sz w:val="22"/>
          <w:szCs w:val="22"/>
        </w:rPr>
        <w:t xml:space="preserve">4.1.g.1.  </w:t>
      </w:r>
      <w:r w:rsidR="00510FA2" w:rsidRPr="001F7008">
        <w:rPr>
          <w:rFonts w:eastAsia="PMingLiU"/>
          <w:sz w:val="22"/>
          <w:szCs w:val="22"/>
        </w:rPr>
        <w:t>Using building energy b</w:t>
      </w:r>
      <w:r w:rsidR="008168AE" w:rsidRPr="001F7008">
        <w:rPr>
          <w:rFonts w:eastAsia="PMingLiU"/>
          <w:sz w:val="22"/>
          <w:szCs w:val="22"/>
        </w:rPr>
        <w:t>enchmarking</w:t>
      </w:r>
      <w:r w:rsidR="00510FA2" w:rsidRPr="001F7008">
        <w:rPr>
          <w:rFonts w:eastAsia="PMingLiU"/>
          <w:sz w:val="22"/>
          <w:szCs w:val="22"/>
        </w:rPr>
        <w:t xml:space="preserve"> </w:t>
      </w:r>
      <w:r w:rsidR="008168AE" w:rsidRPr="001F7008">
        <w:rPr>
          <w:rFonts w:eastAsia="PMingLiU"/>
          <w:sz w:val="22"/>
          <w:szCs w:val="22"/>
        </w:rPr>
        <w:t xml:space="preserve">in all commercial structures </w:t>
      </w:r>
      <w:r w:rsidR="00510FA2" w:rsidRPr="001F7008">
        <w:rPr>
          <w:rFonts w:eastAsia="PMingLiU"/>
          <w:sz w:val="22"/>
          <w:szCs w:val="22"/>
        </w:rPr>
        <w:t xml:space="preserve">means measuring a building’s energy use and then comparing it to the energy use of similar buildings, its own historical energy usage, or a reference performance level, </w:t>
      </w:r>
      <w:r w:rsidR="00B80C85" w:rsidRPr="001F7008">
        <w:rPr>
          <w:rFonts w:eastAsia="PMingLiU"/>
          <w:sz w:val="22"/>
          <w:szCs w:val="22"/>
        </w:rPr>
        <w:t xml:space="preserve">and </w:t>
      </w:r>
      <w:r w:rsidR="008168AE" w:rsidRPr="001F7008">
        <w:rPr>
          <w:rFonts w:eastAsia="PMingLiU"/>
          <w:sz w:val="22"/>
          <w:szCs w:val="22"/>
        </w:rPr>
        <w:t>is an allowable option for improved energy efficiency</w:t>
      </w:r>
      <w:r w:rsidR="00510FA2" w:rsidRPr="001F7008">
        <w:rPr>
          <w:rFonts w:eastAsia="PMingLiU"/>
          <w:sz w:val="22"/>
          <w:szCs w:val="22"/>
        </w:rPr>
        <w:t xml:space="preserve"> and performance</w:t>
      </w:r>
      <w:r w:rsidR="008168AE" w:rsidRPr="001F7008">
        <w:rPr>
          <w:rFonts w:eastAsia="PMingLiU"/>
          <w:sz w:val="22"/>
          <w:szCs w:val="22"/>
        </w:rPr>
        <w:t>.</w:t>
      </w:r>
    </w:p>
    <w:p w14:paraId="2A2D1790"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EEDA7A9" w14:textId="42520492" w:rsidR="00511F20" w:rsidRPr="001F7008" w:rsidRDefault="00925EF8" w:rsidP="000D19F1">
      <w:pPr>
        <w:tabs>
          <w:tab w:val="left" w:pos="-1209"/>
          <w:tab w:val="left" w:pos="-720"/>
          <w:tab w:val="left" w:pos="0"/>
          <w:tab w:val="left" w:pos="360"/>
          <w:tab w:val="left" w:pos="54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sidR="00511F20" w:rsidRPr="001F7008">
        <w:rPr>
          <w:rFonts w:eastAsia="PMingLiU"/>
          <w:sz w:val="22"/>
          <w:szCs w:val="22"/>
        </w:rPr>
        <w:t>4.1.h</w:t>
      </w:r>
      <w:r w:rsidR="00092E4B" w:rsidRPr="001F7008">
        <w:rPr>
          <w:rFonts w:eastAsia="PMingLiU"/>
          <w:sz w:val="22"/>
          <w:szCs w:val="22"/>
        </w:rPr>
        <w:t>.</w:t>
      </w:r>
      <w:r w:rsidR="00511F20" w:rsidRPr="001F7008">
        <w:rPr>
          <w:rFonts w:eastAsia="PMingLiU"/>
          <w:sz w:val="22"/>
          <w:szCs w:val="22"/>
        </w:rPr>
        <w:t xml:space="preserve">  The </w:t>
      </w:r>
      <w:r w:rsidR="00E45959" w:rsidRPr="001F7008">
        <w:rPr>
          <w:rFonts w:eastAsia="Calibri"/>
          <w:sz w:val="22"/>
          <w:szCs w:val="22"/>
        </w:rPr>
        <w:t>2018</w:t>
      </w:r>
      <w:r w:rsidR="007F4CBD" w:rsidRPr="001F7008">
        <w:rPr>
          <w:rFonts w:eastAsia="PMingLiU"/>
          <w:sz w:val="22"/>
          <w:szCs w:val="22"/>
        </w:rPr>
        <w:t xml:space="preserve"> </w:t>
      </w:r>
      <w:r w:rsidR="00511F20" w:rsidRPr="001F7008">
        <w:rPr>
          <w:rFonts w:eastAsia="PMingLiU"/>
          <w:sz w:val="22"/>
          <w:szCs w:val="22"/>
        </w:rPr>
        <w:t>edition of the International Residential Code for One</w:t>
      </w:r>
      <w:r w:rsidR="00F60E74" w:rsidRPr="001F7008">
        <w:rPr>
          <w:rFonts w:eastAsia="PMingLiU"/>
          <w:sz w:val="22"/>
          <w:szCs w:val="22"/>
        </w:rPr>
        <w:t>-</w:t>
      </w:r>
      <w:r w:rsidR="00511F20" w:rsidRPr="001F7008">
        <w:rPr>
          <w:rFonts w:eastAsia="PMingLiU"/>
          <w:sz w:val="22"/>
          <w:szCs w:val="22"/>
        </w:rPr>
        <w:t xml:space="preserve"> and </w:t>
      </w:r>
      <w:r w:rsidR="00870603" w:rsidRPr="001F7008">
        <w:rPr>
          <w:rFonts w:eastAsia="PMingLiU"/>
          <w:sz w:val="22"/>
          <w:szCs w:val="22"/>
        </w:rPr>
        <w:t>Two-Family</w:t>
      </w:r>
      <w:r w:rsidR="00511F20" w:rsidRPr="001F7008">
        <w:rPr>
          <w:rFonts w:eastAsia="PMingLiU"/>
          <w:sz w:val="22"/>
          <w:szCs w:val="22"/>
        </w:rPr>
        <w:t xml:space="preserve"> Dwellings, with the following exceptions:</w:t>
      </w:r>
    </w:p>
    <w:p w14:paraId="1E45C8A7"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62F625E" w14:textId="4D6525E5"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004F37" w:rsidRPr="001F7008">
        <w:rPr>
          <w:rFonts w:eastAsia="PMingLiU"/>
          <w:sz w:val="22"/>
          <w:szCs w:val="22"/>
        </w:rPr>
        <w:t xml:space="preserve">4.1.h.1.  </w:t>
      </w:r>
      <w:r w:rsidR="00511F20" w:rsidRPr="001F7008">
        <w:rPr>
          <w:rFonts w:eastAsia="PMingLiU"/>
          <w:sz w:val="22"/>
          <w:szCs w:val="22"/>
        </w:rPr>
        <w:t xml:space="preserve">Chapter 11 of the </w:t>
      </w:r>
      <w:r w:rsidR="00E45959" w:rsidRPr="001F7008">
        <w:rPr>
          <w:rFonts w:eastAsia="Calibri"/>
          <w:sz w:val="22"/>
          <w:szCs w:val="22"/>
        </w:rPr>
        <w:t>2018</w:t>
      </w:r>
      <w:r w:rsidR="00E45959" w:rsidRPr="001F7008">
        <w:rPr>
          <w:rFonts w:eastAsia="PMingLiU"/>
          <w:sz w:val="22"/>
          <w:szCs w:val="22"/>
        </w:rPr>
        <w:t xml:space="preserve"> </w:t>
      </w:r>
      <w:r w:rsidR="00511F20" w:rsidRPr="001F7008">
        <w:rPr>
          <w:rFonts w:eastAsia="PMingLiU"/>
          <w:sz w:val="22"/>
          <w:szCs w:val="22"/>
        </w:rPr>
        <w:t>edition of the International Residential Code for One</w:t>
      </w:r>
      <w:r w:rsidR="00870603" w:rsidRPr="001F7008">
        <w:rPr>
          <w:rFonts w:eastAsia="PMingLiU"/>
          <w:sz w:val="22"/>
          <w:szCs w:val="22"/>
        </w:rPr>
        <w:t>-</w:t>
      </w:r>
      <w:r w:rsidR="00511F20" w:rsidRPr="001F7008">
        <w:rPr>
          <w:rFonts w:eastAsia="PMingLiU"/>
          <w:sz w:val="22"/>
          <w:szCs w:val="22"/>
        </w:rPr>
        <w:t xml:space="preserve"> and Two</w:t>
      </w:r>
      <w:r w:rsidR="00870603" w:rsidRPr="001F7008">
        <w:rPr>
          <w:rFonts w:eastAsia="PMingLiU"/>
          <w:sz w:val="22"/>
          <w:szCs w:val="22"/>
        </w:rPr>
        <w:t>-</w:t>
      </w:r>
      <w:r w:rsidR="00511F20" w:rsidRPr="001F7008">
        <w:rPr>
          <w:rFonts w:eastAsia="PMingLiU"/>
          <w:sz w:val="22"/>
          <w:szCs w:val="22"/>
        </w:rPr>
        <w:t>Family Dwellings, Seventh Printing, entitled “Energy Efficiency”, is exempt from this rule.</w:t>
      </w:r>
    </w:p>
    <w:p w14:paraId="12DD96BA"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8E001F5" w14:textId="77777777"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092E4B" w:rsidRPr="001F7008">
        <w:rPr>
          <w:rFonts w:eastAsia="PMingLiU"/>
          <w:sz w:val="22"/>
          <w:szCs w:val="22"/>
        </w:rPr>
        <w:t xml:space="preserve">4.1.h.2.  </w:t>
      </w:r>
      <w:r w:rsidR="00511F20" w:rsidRPr="001F7008">
        <w:rPr>
          <w:rFonts w:eastAsia="PMingLiU"/>
          <w:sz w:val="22"/>
          <w:szCs w:val="22"/>
        </w:rPr>
        <w:t xml:space="preserve">Section </w:t>
      </w:r>
      <w:r w:rsidR="00DB2E5D" w:rsidRPr="001F7008">
        <w:rPr>
          <w:rFonts w:eastAsia="PMingLiU"/>
          <w:sz w:val="22"/>
          <w:szCs w:val="22"/>
        </w:rPr>
        <w:t>G2415.12</w:t>
      </w:r>
      <w:r w:rsidR="00511F20" w:rsidRPr="001F7008">
        <w:rPr>
          <w:rFonts w:eastAsia="PMingLiU"/>
          <w:sz w:val="22"/>
          <w:szCs w:val="22"/>
        </w:rPr>
        <w:t xml:space="preserve"> </w:t>
      </w:r>
      <w:r w:rsidR="00511F20" w:rsidRPr="001F7008">
        <w:rPr>
          <w:rFonts w:eastAsia="PMingLiU"/>
          <w:iCs/>
          <w:sz w:val="22"/>
          <w:szCs w:val="22"/>
        </w:rPr>
        <w:t>(404.10</w:t>
      </w:r>
      <w:r w:rsidR="00F77A13" w:rsidRPr="001F7008">
        <w:rPr>
          <w:rFonts w:eastAsia="PMingLiU"/>
          <w:sz w:val="22"/>
          <w:szCs w:val="22"/>
        </w:rPr>
        <w:t xml:space="preserve">) </w:t>
      </w:r>
      <w:r w:rsidR="00511F20" w:rsidRPr="001F7008">
        <w:rPr>
          <w:rFonts w:eastAsia="PMingLiU"/>
          <w:sz w:val="22"/>
          <w:szCs w:val="22"/>
        </w:rPr>
        <w:t>Minimum Burial Depth. Underground piping systems shall be installed a minimum depth of 12 inches (305 mm) below grade.  If the minimum depth cannot be maintained, the piping system shall be installed in conduit or shielded in an approved manner.</w:t>
      </w:r>
    </w:p>
    <w:p w14:paraId="2E9C8F9C" w14:textId="77777777"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A5C91F8" w14:textId="1D2627C2"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7E5ED0" w:rsidRPr="001F7008">
        <w:rPr>
          <w:rFonts w:eastAsia="PMingLiU"/>
          <w:sz w:val="22"/>
          <w:szCs w:val="22"/>
        </w:rPr>
        <w:t>4.1.h.</w:t>
      </w:r>
      <w:r w:rsidR="00F36CF9">
        <w:rPr>
          <w:rFonts w:eastAsia="PMingLiU"/>
          <w:sz w:val="22"/>
          <w:szCs w:val="22"/>
        </w:rPr>
        <w:t>3</w:t>
      </w:r>
      <w:r w:rsidR="007E5ED0" w:rsidRPr="001F7008">
        <w:rPr>
          <w:rFonts w:eastAsia="PMingLiU"/>
          <w:sz w:val="22"/>
          <w:szCs w:val="22"/>
        </w:rPr>
        <w:t xml:space="preserve">.  </w:t>
      </w:r>
      <w:r w:rsidR="007E5ED0" w:rsidRPr="001F7008">
        <w:rPr>
          <w:rFonts w:eastAsia="Calibri"/>
          <w:sz w:val="22"/>
          <w:szCs w:val="22"/>
        </w:rPr>
        <w:t>Section M1402 Central Furnaces</w:t>
      </w:r>
      <w:r w:rsidR="006E0CAE" w:rsidRPr="001F7008">
        <w:rPr>
          <w:rFonts w:eastAsia="Calibri"/>
          <w:sz w:val="22"/>
          <w:szCs w:val="22"/>
        </w:rPr>
        <w:t>.</w:t>
      </w:r>
    </w:p>
    <w:p w14:paraId="727FC75F" w14:textId="77777777"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2CE2840" w14:textId="53C30DA8"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Pr>
          <w:rFonts w:eastAsia="PMingLiU"/>
          <w:sz w:val="22"/>
          <w:szCs w:val="22"/>
        </w:rPr>
        <w:tab/>
      </w:r>
      <w:r w:rsidR="00624AEB" w:rsidRPr="001F7008">
        <w:rPr>
          <w:rFonts w:eastAsia="Calibri"/>
          <w:sz w:val="22"/>
          <w:szCs w:val="22"/>
        </w:rPr>
        <w:t>4.1.h.</w:t>
      </w:r>
      <w:r w:rsidR="00F36CF9">
        <w:rPr>
          <w:rFonts w:eastAsia="Calibri"/>
          <w:sz w:val="22"/>
          <w:szCs w:val="22"/>
        </w:rPr>
        <w:t>3</w:t>
      </w:r>
      <w:r w:rsidR="00624AEB" w:rsidRPr="001F7008">
        <w:rPr>
          <w:rFonts w:eastAsia="Calibri"/>
          <w:sz w:val="22"/>
          <w:szCs w:val="22"/>
        </w:rPr>
        <w:t xml:space="preserve">.A.  </w:t>
      </w:r>
      <w:r w:rsidR="007E5ED0" w:rsidRPr="001F7008">
        <w:rPr>
          <w:rFonts w:eastAsia="Calibri"/>
          <w:sz w:val="22"/>
          <w:szCs w:val="22"/>
        </w:rPr>
        <w:t>M1402.1 General</w:t>
      </w:r>
      <w:r w:rsidR="002F68C4" w:rsidRPr="001F7008">
        <w:rPr>
          <w:rFonts w:eastAsia="Calibri"/>
          <w:sz w:val="22"/>
          <w:szCs w:val="22"/>
        </w:rPr>
        <w:t xml:space="preserve">- </w:t>
      </w:r>
      <w:r w:rsidR="007E5ED0" w:rsidRPr="001F7008">
        <w:rPr>
          <w:rFonts w:eastAsia="Calibri"/>
          <w:sz w:val="22"/>
          <w:szCs w:val="22"/>
        </w:rPr>
        <w:t>Oil-fired central furnaces shall conform to ANSI/UL 727.  Electric furnaces shall conform to UL 1995 or UL/CSA 60335-2-40.</w:t>
      </w:r>
    </w:p>
    <w:p w14:paraId="6A2E4D50" w14:textId="77777777"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9A33B8F" w14:textId="1552D7AB"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Pr>
          <w:rFonts w:eastAsia="PMingLiU"/>
          <w:sz w:val="22"/>
          <w:szCs w:val="22"/>
        </w:rPr>
        <w:tab/>
      </w:r>
      <w:r w:rsidR="002F68C4" w:rsidRPr="001F7008">
        <w:rPr>
          <w:rFonts w:eastAsia="Calibri"/>
          <w:sz w:val="22"/>
          <w:szCs w:val="22"/>
        </w:rPr>
        <w:t>4.1.h.</w:t>
      </w:r>
      <w:r w:rsidR="00F36CF9">
        <w:rPr>
          <w:rFonts w:eastAsia="Calibri"/>
          <w:sz w:val="22"/>
          <w:szCs w:val="22"/>
        </w:rPr>
        <w:t>3</w:t>
      </w:r>
      <w:r w:rsidR="002F68C4" w:rsidRPr="001F7008">
        <w:rPr>
          <w:rFonts w:eastAsia="Calibri"/>
          <w:sz w:val="22"/>
          <w:szCs w:val="22"/>
        </w:rPr>
        <w:t xml:space="preserve">.B.  </w:t>
      </w:r>
      <w:r w:rsidR="007E5ED0" w:rsidRPr="001F7008">
        <w:rPr>
          <w:rFonts w:eastAsia="Calibri"/>
          <w:sz w:val="22"/>
          <w:szCs w:val="22"/>
        </w:rPr>
        <w:t>Section M1403 Heat Pump Equipment</w:t>
      </w:r>
    </w:p>
    <w:p w14:paraId="20E7CE59" w14:textId="77777777"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E49C8FA" w14:textId="7A0A9F86"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Pr>
          <w:rFonts w:eastAsia="PMingLiU"/>
          <w:sz w:val="22"/>
          <w:szCs w:val="22"/>
        </w:rPr>
        <w:tab/>
      </w:r>
      <w:r>
        <w:rPr>
          <w:rFonts w:eastAsia="PMingLiU"/>
          <w:sz w:val="22"/>
          <w:szCs w:val="22"/>
        </w:rPr>
        <w:tab/>
      </w:r>
      <w:r w:rsidR="002F68C4" w:rsidRPr="001F7008">
        <w:rPr>
          <w:rFonts w:eastAsia="Calibri"/>
          <w:sz w:val="22"/>
          <w:szCs w:val="22"/>
        </w:rPr>
        <w:t>4.1.h.</w:t>
      </w:r>
      <w:r w:rsidR="00F36CF9">
        <w:rPr>
          <w:rFonts w:eastAsia="Calibri"/>
          <w:sz w:val="22"/>
          <w:szCs w:val="22"/>
        </w:rPr>
        <w:t>3</w:t>
      </w:r>
      <w:r w:rsidR="002F68C4" w:rsidRPr="001F7008">
        <w:rPr>
          <w:rFonts w:eastAsia="Calibri"/>
          <w:sz w:val="22"/>
          <w:szCs w:val="22"/>
        </w:rPr>
        <w:t xml:space="preserve">.B.1.  </w:t>
      </w:r>
      <w:r w:rsidR="007E5ED0" w:rsidRPr="001F7008">
        <w:rPr>
          <w:rFonts w:eastAsia="Calibri"/>
          <w:sz w:val="22"/>
          <w:szCs w:val="22"/>
        </w:rPr>
        <w:t>M1403.1 Heat pumps</w:t>
      </w:r>
      <w:r w:rsidR="002F68C4" w:rsidRPr="001F7008">
        <w:rPr>
          <w:rFonts w:eastAsia="Calibri"/>
          <w:sz w:val="22"/>
          <w:szCs w:val="22"/>
        </w:rPr>
        <w:t xml:space="preserve">- </w:t>
      </w:r>
      <w:r w:rsidR="007E5ED0" w:rsidRPr="001F7008">
        <w:rPr>
          <w:rFonts w:eastAsia="Calibri"/>
          <w:sz w:val="22"/>
          <w:szCs w:val="22"/>
        </w:rPr>
        <w:t>Electric heat pumps shall be listed and labeled in accordance with UL 1995 or UL/CSA 60335-2-40.</w:t>
      </w:r>
    </w:p>
    <w:p w14:paraId="2DD79213" w14:textId="77777777"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464756A" w14:textId="298E8EBB"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Pr>
          <w:rFonts w:eastAsia="PMingLiU"/>
          <w:sz w:val="22"/>
          <w:szCs w:val="22"/>
        </w:rPr>
        <w:tab/>
      </w:r>
      <w:r w:rsidR="002F68C4" w:rsidRPr="001F7008">
        <w:rPr>
          <w:rFonts w:eastAsia="Calibri"/>
          <w:sz w:val="22"/>
          <w:szCs w:val="22"/>
        </w:rPr>
        <w:t>4.1.h.</w:t>
      </w:r>
      <w:r w:rsidR="00F36CF9">
        <w:rPr>
          <w:rFonts w:eastAsia="Calibri"/>
          <w:sz w:val="22"/>
          <w:szCs w:val="22"/>
        </w:rPr>
        <w:t>3</w:t>
      </w:r>
      <w:r w:rsidR="002F68C4" w:rsidRPr="001F7008">
        <w:rPr>
          <w:rFonts w:eastAsia="Calibri"/>
          <w:sz w:val="22"/>
          <w:szCs w:val="22"/>
        </w:rPr>
        <w:t xml:space="preserve">.C.  </w:t>
      </w:r>
      <w:r w:rsidR="007E5ED0" w:rsidRPr="001F7008">
        <w:rPr>
          <w:rFonts w:eastAsia="Calibri"/>
          <w:sz w:val="22"/>
          <w:szCs w:val="22"/>
        </w:rPr>
        <w:t>Section M1412 Absorption Cooling Equipment</w:t>
      </w:r>
    </w:p>
    <w:p w14:paraId="12DE2F20" w14:textId="77777777"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1C45530" w14:textId="586306D2"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Pr>
          <w:rFonts w:eastAsia="PMingLiU"/>
          <w:sz w:val="22"/>
          <w:szCs w:val="22"/>
        </w:rPr>
        <w:tab/>
      </w:r>
      <w:r>
        <w:rPr>
          <w:rFonts w:eastAsia="PMingLiU"/>
          <w:sz w:val="22"/>
          <w:szCs w:val="22"/>
        </w:rPr>
        <w:tab/>
      </w:r>
      <w:r w:rsidR="002F68C4" w:rsidRPr="001F7008">
        <w:rPr>
          <w:rFonts w:eastAsia="Calibri"/>
          <w:sz w:val="22"/>
          <w:szCs w:val="22"/>
        </w:rPr>
        <w:t>4.1.h.</w:t>
      </w:r>
      <w:r w:rsidR="00F36CF9">
        <w:rPr>
          <w:rFonts w:eastAsia="Calibri"/>
          <w:sz w:val="22"/>
          <w:szCs w:val="22"/>
        </w:rPr>
        <w:t>3</w:t>
      </w:r>
      <w:r w:rsidR="002F68C4" w:rsidRPr="001F7008">
        <w:rPr>
          <w:rFonts w:eastAsia="Calibri"/>
          <w:sz w:val="22"/>
          <w:szCs w:val="22"/>
        </w:rPr>
        <w:t>.C.1.</w:t>
      </w:r>
      <w:r w:rsidR="003D1A50">
        <w:rPr>
          <w:rFonts w:eastAsia="Calibri"/>
          <w:sz w:val="22"/>
          <w:szCs w:val="22"/>
        </w:rPr>
        <w:t xml:space="preserve">  </w:t>
      </w:r>
      <w:r w:rsidR="007E5ED0" w:rsidRPr="001F7008">
        <w:rPr>
          <w:rFonts w:eastAsia="Calibri"/>
          <w:sz w:val="22"/>
          <w:szCs w:val="22"/>
        </w:rPr>
        <w:t>M1412.1 Approval of equipment</w:t>
      </w:r>
      <w:r w:rsidR="002F68C4" w:rsidRPr="001F7008">
        <w:rPr>
          <w:rFonts w:eastAsia="Calibri"/>
          <w:sz w:val="22"/>
          <w:szCs w:val="22"/>
        </w:rPr>
        <w:t xml:space="preserve">- </w:t>
      </w:r>
      <w:r w:rsidR="007E5ED0" w:rsidRPr="001F7008">
        <w:rPr>
          <w:rFonts w:eastAsia="Calibri"/>
          <w:sz w:val="22"/>
          <w:szCs w:val="22"/>
        </w:rPr>
        <w:t>Absorption systems shall be installed in accordance with the manufacturer’s instructions. Absorption equipment shall comply with UL 1995 or UL/CSA 60335-2-40.</w:t>
      </w:r>
    </w:p>
    <w:p w14:paraId="1094FBAB" w14:textId="77777777"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470012D" w14:textId="0BCCC969"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Pr>
          <w:rFonts w:eastAsia="PMingLiU"/>
          <w:sz w:val="22"/>
          <w:szCs w:val="22"/>
        </w:rPr>
        <w:tab/>
      </w:r>
      <w:r w:rsidR="002F68C4" w:rsidRPr="001F7008">
        <w:rPr>
          <w:rFonts w:eastAsia="Calibri"/>
          <w:sz w:val="22"/>
          <w:szCs w:val="22"/>
        </w:rPr>
        <w:t>4.1.h.</w:t>
      </w:r>
      <w:r w:rsidR="00F36CF9">
        <w:rPr>
          <w:rFonts w:eastAsia="Calibri"/>
          <w:sz w:val="22"/>
          <w:szCs w:val="22"/>
        </w:rPr>
        <w:t>3</w:t>
      </w:r>
      <w:r w:rsidR="002F68C4" w:rsidRPr="001F7008">
        <w:rPr>
          <w:rFonts w:eastAsia="Calibri"/>
          <w:sz w:val="22"/>
          <w:szCs w:val="22"/>
        </w:rPr>
        <w:t xml:space="preserve">.D.  </w:t>
      </w:r>
      <w:r w:rsidR="007E5ED0" w:rsidRPr="001F7008">
        <w:rPr>
          <w:rFonts w:eastAsia="Calibri"/>
          <w:sz w:val="22"/>
          <w:szCs w:val="22"/>
        </w:rPr>
        <w:t>Section M1413 Evaporative Cooling Equipment</w:t>
      </w:r>
    </w:p>
    <w:p w14:paraId="75EE7E6B" w14:textId="77777777"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36845F7" w14:textId="5AE8D66D"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Pr>
          <w:rFonts w:eastAsia="PMingLiU"/>
          <w:sz w:val="22"/>
          <w:szCs w:val="22"/>
        </w:rPr>
        <w:tab/>
      </w:r>
      <w:r>
        <w:rPr>
          <w:rFonts w:eastAsia="PMingLiU"/>
          <w:sz w:val="22"/>
          <w:szCs w:val="22"/>
        </w:rPr>
        <w:tab/>
      </w:r>
      <w:r w:rsidR="002F68C4" w:rsidRPr="001F7008">
        <w:rPr>
          <w:rFonts w:eastAsia="Calibri"/>
          <w:sz w:val="22"/>
          <w:szCs w:val="22"/>
        </w:rPr>
        <w:t>4.1.h.</w:t>
      </w:r>
      <w:r w:rsidR="00F36CF9">
        <w:rPr>
          <w:rFonts w:eastAsia="Calibri"/>
          <w:sz w:val="22"/>
          <w:szCs w:val="22"/>
        </w:rPr>
        <w:t>3</w:t>
      </w:r>
      <w:r w:rsidR="002F68C4" w:rsidRPr="001F7008">
        <w:rPr>
          <w:rFonts w:eastAsia="Calibri"/>
          <w:sz w:val="22"/>
          <w:szCs w:val="22"/>
        </w:rPr>
        <w:t xml:space="preserve">.D.1.  </w:t>
      </w:r>
      <w:r w:rsidR="007E5ED0" w:rsidRPr="001F7008">
        <w:rPr>
          <w:rFonts w:eastAsia="Calibri"/>
          <w:sz w:val="22"/>
          <w:szCs w:val="22"/>
        </w:rPr>
        <w:t>M1413.1 General</w:t>
      </w:r>
      <w:r w:rsidR="002F68C4" w:rsidRPr="001F7008">
        <w:rPr>
          <w:rFonts w:eastAsia="Calibri"/>
          <w:sz w:val="22"/>
          <w:szCs w:val="22"/>
        </w:rPr>
        <w:t xml:space="preserve">- </w:t>
      </w:r>
      <w:r w:rsidR="007E5ED0" w:rsidRPr="001F7008">
        <w:rPr>
          <w:rFonts w:eastAsia="Calibri"/>
          <w:sz w:val="22"/>
          <w:szCs w:val="22"/>
        </w:rPr>
        <w:t>Evaporative cooling equipment and appliances shall comply with UL 1995 or UL/CSA 60335-2-40 and shall be installed</w:t>
      </w:r>
      <w:r w:rsidR="002F68C4" w:rsidRPr="001F7008">
        <w:rPr>
          <w:rFonts w:eastAsia="Calibri"/>
          <w:sz w:val="22"/>
          <w:szCs w:val="22"/>
        </w:rPr>
        <w:t xml:space="preserve"> in accordance wit</w:t>
      </w:r>
      <w:r w:rsidR="004E0960" w:rsidRPr="001F7008">
        <w:rPr>
          <w:rFonts w:eastAsia="Calibri"/>
          <w:sz w:val="22"/>
          <w:szCs w:val="22"/>
        </w:rPr>
        <w:t xml:space="preserve">h </w:t>
      </w:r>
      <w:r w:rsidR="007E5ED0" w:rsidRPr="001F7008">
        <w:rPr>
          <w:rFonts w:eastAsia="Calibri"/>
          <w:sz w:val="22"/>
          <w:szCs w:val="22"/>
        </w:rPr>
        <w:t>4401.3 Referenced standard list</w:t>
      </w:r>
      <w:r w:rsidR="004E0960" w:rsidRPr="001F7008">
        <w:rPr>
          <w:rFonts w:eastAsia="Calibri"/>
          <w:sz w:val="22"/>
          <w:szCs w:val="22"/>
        </w:rPr>
        <w:t>:</w:t>
      </w:r>
    </w:p>
    <w:p w14:paraId="593E61C8" w14:textId="77777777"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67EED11" w14:textId="3F3CBCC9"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Pr>
          <w:rFonts w:eastAsia="PMingLiU"/>
          <w:sz w:val="22"/>
          <w:szCs w:val="22"/>
        </w:rPr>
        <w:tab/>
      </w:r>
      <w:r w:rsidR="00B128E8" w:rsidRPr="001F7008">
        <w:rPr>
          <w:rFonts w:eastAsia="Calibri"/>
          <w:sz w:val="22"/>
          <w:szCs w:val="22"/>
        </w:rPr>
        <w:t>4.1.h.</w:t>
      </w:r>
      <w:r w:rsidR="00F36CF9">
        <w:rPr>
          <w:rFonts w:eastAsia="Calibri"/>
          <w:sz w:val="22"/>
          <w:szCs w:val="22"/>
        </w:rPr>
        <w:t>3</w:t>
      </w:r>
      <w:r w:rsidR="00B128E8" w:rsidRPr="001F7008">
        <w:rPr>
          <w:rFonts w:eastAsia="Calibri"/>
          <w:sz w:val="22"/>
          <w:szCs w:val="22"/>
        </w:rPr>
        <w:t>. E.  Chapter 44 Referenced standards</w:t>
      </w:r>
    </w:p>
    <w:p w14:paraId="6600E0F3" w14:textId="77777777" w:rsid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362F409" w14:textId="1A1B945C" w:rsidR="00B128E8" w:rsidRDefault="00B5780E"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left="1440" w:firstLine="360"/>
        <w:jc w:val="both"/>
        <w:rPr>
          <w:rFonts w:eastAsia="Calibri"/>
          <w:sz w:val="22"/>
          <w:szCs w:val="22"/>
        </w:rPr>
      </w:pPr>
      <w:r w:rsidRPr="001F7008">
        <w:rPr>
          <w:rFonts w:eastAsia="Calibri"/>
          <w:noProof/>
          <w:sz w:val="22"/>
          <w:szCs w:val="22"/>
        </w:rPr>
        <mc:AlternateContent>
          <mc:Choice Requires="wps">
            <w:drawing>
              <wp:anchor distT="0" distB="0" distL="114300" distR="114300" simplePos="0" relativeHeight="251661312" behindDoc="1" locked="0" layoutInCell="1" allowOverlap="1" wp14:anchorId="7F08468D" wp14:editId="03453776">
                <wp:simplePos x="0" y="0"/>
                <wp:positionH relativeFrom="column">
                  <wp:posOffset>-38100</wp:posOffset>
                </wp:positionH>
                <wp:positionV relativeFrom="paragraph">
                  <wp:posOffset>292734</wp:posOffset>
                </wp:positionV>
                <wp:extent cx="6029325" cy="1057275"/>
                <wp:effectExtent l="0" t="0" r="28575" b="28575"/>
                <wp:wrapNone/>
                <wp:docPr id="8" name="Text Box 8"/>
                <wp:cNvGraphicFramePr/>
                <a:graphic xmlns:a="http://schemas.openxmlformats.org/drawingml/2006/main">
                  <a:graphicData uri="http://schemas.microsoft.com/office/word/2010/wordprocessingShape">
                    <wps:wsp>
                      <wps:cNvSpPr txBox="1"/>
                      <wps:spPr>
                        <a:xfrm>
                          <a:off x="0" y="0"/>
                          <a:ext cx="6029325" cy="1057275"/>
                        </a:xfrm>
                        <a:prstGeom prst="rect">
                          <a:avLst/>
                        </a:prstGeom>
                        <a:solidFill>
                          <a:schemeClr val="lt1"/>
                        </a:solidFill>
                        <a:ln w="6350">
                          <a:solidFill>
                            <a:prstClr val="black"/>
                          </a:solidFill>
                        </a:ln>
                      </wps:spPr>
                      <wps:txbx>
                        <w:txbxContent>
                          <w:p w14:paraId="175FFF56" w14:textId="77777777" w:rsidR="00B5780E" w:rsidRDefault="00B5780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08468D" id="Text Box 8" o:spid="_x0000_s1028" type="#_x0000_t202" style="position:absolute;left:0;text-align:left;margin-left:-3pt;margin-top:23.05pt;width:474.75pt;height:83.25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" fillcolor="white [3201]" strokeweight=".5pt">
                <v:textbox>
                  <w:txbxContent>
                    <w:p w14:paraId="175FFF56" w14:textId="77777777" w:rsidR="00B5780E" w:rsidRDefault="00B5780E"/>
                  </w:txbxContent>
                </v:textbox>
              </v:shape>
            </w:pict>
          </mc:Fallback>
        </mc:AlternateContent>
      </w:r>
      <w:r w:rsidR="00B128E8" w:rsidRPr="001F7008">
        <w:rPr>
          <w:rFonts w:eastAsia="Calibri"/>
          <w:sz w:val="22"/>
          <w:szCs w:val="22"/>
        </w:rPr>
        <w:t>4.1.h.</w:t>
      </w:r>
      <w:r w:rsidR="00F36CF9">
        <w:rPr>
          <w:rFonts w:eastAsia="Calibri"/>
          <w:sz w:val="22"/>
          <w:szCs w:val="22"/>
        </w:rPr>
        <w:t>3</w:t>
      </w:r>
      <w:r w:rsidR="00B128E8" w:rsidRPr="001F7008">
        <w:rPr>
          <w:rFonts w:eastAsia="Calibri"/>
          <w:sz w:val="22"/>
          <w:szCs w:val="22"/>
        </w:rPr>
        <w:t>.E.1.   4401.3 Referenced standard list</w:t>
      </w:r>
      <w:r w:rsidR="00EC7A77" w:rsidRPr="001F7008">
        <w:rPr>
          <w:rFonts w:eastAsia="Calibri"/>
          <w:sz w:val="22"/>
          <w:szCs w:val="22"/>
        </w:rPr>
        <w:t xml:space="preserve"> – See table 2</w:t>
      </w:r>
    </w:p>
    <w:p w14:paraId="294CB6FE" w14:textId="77777777" w:rsidR="00925EF8" w:rsidRPr="00925EF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A1F533F" w14:textId="76999AD4" w:rsidR="00B128E8" w:rsidRPr="001F7008" w:rsidRDefault="00B128E8" w:rsidP="00B128E8">
      <w:pPr>
        <w:widowControl/>
        <w:autoSpaceDE/>
        <w:autoSpaceDN/>
        <w:adjustRightInd/>
        <w:spacing w:after="160" w:line="259" w:lineRule="auto"/>
        <w:ind w:left="4320" w:hanging="4320"/>
        <w:rPr>
          <w:rFonts w:eastAsia="Calibri"/>
          <w:sz w:val="22"/>
          <w:szCs w:val="22"/>
        </w:rPr>
      </w:pPr>
      <w:r w:rsidRPr="001F7008">
        <w:rPr>
          <w:rFonts w:eastAsia="Calibri"/>
          <w:sz w:val="22"/>
          <w:szCs w:val="22"/>
        </w:rPr>
        <w:t>ASHRAE</w:t>
      </w:r>
      <w:r w:rsidRPr="001F7008">
        <w:rPr>
          <w:rFonts w:eastAsia="Calibri"/>
          <w:sz w:val="22"/>
          <w:szCs w:val="22"/>
        </w:rPr>
        <w:tab/>
        <w:t>ASHRAE                                                                                                                                             1791 Tullie Circle NE                                                                                                             Atlanta, GA 30329</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5"/>
        <w:gridCol w:w="5125"/>
      </w:tblGrid>
      <w:tr w:rsidR="00B128E8" w:rsidRPr="001F7008" w14:paraId="566EBEDA" w14:textId="77777777" w:rsidTr="000F7594">
        <w:tc>
          <w:tcPr>
            <w:tcW w:w="4225" w:type="dxa"/>
            <w:tcBorders>
              <w:top w:val="single" w:sz="4" w:space="0" w:color="auto"/>
              <w:bottom w:val="single" w:sz="4" w:space="0" w:color="auto"/>
            </w:tcBorders>
          </w:tcPr>
          <w:p w14:paraId="2EC973D3" w14:textId="77777777" w:rsidR="00B128E8" w:rsidRPr="001F7008" w:rsidRDefault="00B128E8" w:rsidP="000F7594">
            <w:pPr>
              <w:widowControl/>
              <w:autoSpaceDE/>
              <w:autoSpaceDN/>
              <w:adjustRightInd/>
              <w:rPr>
                <w:sz w:val="22"/>
                <w:szCs w:val="22"/>
              </w:rPr>
            </w:pPr>
            <w:bookmarkStart w:id="1" w:name="_Hlk38528453"/>
            <w:r w:rsidRPr="001F7008">
              <w:rPr>
                <w:sz w:val="22"/>
                <w:szCs w:val="22"/>
              </w:rPr>
              <w:t>Standard referenced</w:t>
            </w:r>
          </w:p>
        </w:tc>
        <w:tc>
          <w:tcPr>
            <w:tcW w:w="5125" w:type="dxa"/>
            <w:tcBorders>
              <w:top w:val="single" w:sz="4" w:space="0" w:color="auto"/>
              <w:bottom w:val="single" w:sz="4" w:space="0" w:color="auto"/>
            </w:tcBorders>
          </w:tcPr>
          <w:p w14:paraId="016D3AA0" w14:textId="77777777" w:rsidR="00B128E8" w:rsidRPr="001F7008" w:rsidRDefault="00B128E8" w:rsidP="000F7594">
            <w:pPr>
              <w:widowControl/>
              <w:autoSpaceDE/>
              <w:autoSpaceDN/>
              <w:adjustRightInd/>
              <w:rPr>
                <w:sz w:val="22"/>
                <w:szCs w:val="22"/>
              </w:rPr>
            </w:pPr>
            <w:r w:rsidRPr="001F7008">
              <w:rPr>
                <w:sz w:val="22"/>
                <w:szCs w:val="22"/>
              </w:rPr>
              <w:t>Title</w:t>
            </w:r>
          </w:p>
        </w:tc>
      </w:tr>
    </w:tbl>
    <w:bookmarkEnd w:id="1"/>
    <w:p w14:paraId="721759B9" w14:textId="116D6151" w:rsidR="00B5780E" w:rsidRPr="001F7008" w:rsidRDefault="00B5780E" w:rsidP="00B128E8">
      <w:pPr>
        <w:widowControl/>
        <w:autoSpaceDE/>
        <w:autoSpaceDN/>
        <w:adjustRightInd/>
        <w:spacing w:after="160" w:line="259" w:lineRule="auto"/>
        <w:rPr>
          <w:rFonts w:eastAsia="Calibri"/>
          <w:sz w:val="22"/>
          <w:szCs w:val="22"/>
        </w:rPr>
      </w:pPr>
      <w:r w:rsidRPr="001F7008">
        <w:rPr>
          <w:rFonts w:eastAsia="Calibri"/>
          <w:sz w:val="22"/>
          <w:szCs w:val="22"/>
        </w:rPr>
        <w:tab/>
      </w:r>
      <w:r w:rsidRPr="001F7008">
        <w:rPr>
          <w:rFonts w:eastAsia="Calibri"/>
          <w:sz w:val="22"/>
          <w:szCs w:val="22"/>
        </w:rPr>
        <w:tab/>
      </w:r>
      <w:r w:rsidRPr="001F7008">
        <w:rPr>
          <w:rFonts w:eastAsia="Calibri"/>
          <w:sz w:val="22"/>
          <w:szCs w:val="22"/>
        </w:rPr>
        <w:tab/>
      </w:r>
      <w:r w:rsidRPr="001F7008">
        <w:rPr>
          <w:rFonts w:eastAsia="Calibri"/>
          <w:sz w:val="22"/>
          <w:szCs w:val="22"/>
        </w:rPr>
        <w:tab/>
      </w:r>
      <w:r w:rsidRPr="001F7008">
        <w:rPr>
          <w:rFonts w:eastAsia="Calibri"/>
          <w:sz w:val="22"/>
          <w:szCs w:val="22"/>
        </w:rPr>
        <w:tab/>
        <w:t xml:space="preserve">  Table 2</w:t>
      </w:r>
    </w:p>
    <w:p w14:paraId="1D639759" w14:textId="39FB4112" w:rsidR="00B128E8" w:rsidRPr="001F7008" w:rsidRDefault="00B5780E" w:rsidP="00B128E8">
      <w:pPr>
        <w:widowControl/>
        <w:autoSpaceDE/>
        <w:autoSpaceDN/>
        <w:adjustRightInd/>
        <w:spacing w:after="160" w:line="259" w:lineRule="auto"/>
        <w:rPr>
          <w:rFonts w:eastAsia="Calibri"/>
          <w:sz w:val="22"/>
          <w:szCs w:val="22"/>
        </w:rPr>
      </w:pPr>
      <w:r w:rsidRPr="001F7008">
        <w:rPr>
          <w:rFonts w:eastAsia="Calibri"/>
          <w:noProof/>
          <w:sz w:val="22"/>
          <w:szCs w:val="22"/>
        </w:rPr>
        <mc:AlternateContent>
          <mc:Choice Requires="wps">
            <w:drawing>
              <wp:anchor distT="0" distB="0" distL="114300" distR="114300" simplePos="0" relativeHeight="251662336" behindDoc="1" locked="0" layoutInCell="1" allowOverlap="1" wp14:anchorId="352B61F1" wp14:editId="2F0BC626">
                <wp:simplePos x="0" y="0"/>
                <wp:positionH relativeFrom="column">
                  <wp:posOffset>-57150</wp:posOffset>
                </wp:positionH>
                <wp:positionV relativeFrom="paragraph">
                  <wp:posOffset>-130175</wp:posOffset>
                </wp:positionV>
                <wp:extent cx="6057900" cy="5772150"/>
                <wp:effectExtent l="0" t="0" r="19050" b="19050"/>
                <wp:wrapNone/>
                <wp:docPr id="10" name="Text Box 10"/>
                <wp:cNvGraphicFramePr/>
                <a:graphic xmlns:a="http://schemas.openxmlformats.org/drawingml/2006/main">
                  <a:graphicData uri="http://schemas.microsoft.com/office/word/2010/wordprocessingShape">
                    <wps:wsp>
                      <wps:cNvSpPr txBox="1"/>
                      <wps:spPr>
                        <a:xfrm>
                          <a:off x="0" y="0"/>
                          <a:ext cx="6057900" cy="5772150"/>
                        </a:xfrm>
                        <a:prstGeom prst="rect">
                          <a:avLst/>
                        </a:prstGeom>
                        <a:solidFill>
                          <a:schemeClr val="lt1"/>
                        </a:solidFill>
                        <a:ln w="6350">
                          <a:solidFill>
                            <a:prstClr val="black"/>
                          </a:solidFill>
                        </a:ln>
                      </wps:spPr>
                      <wps:txbx>
                        <w:txbxContent>
                          <w:p w14:paraId="6154CEF0" w14:textId="77777777" w:rsidR="00B5780E" w:rsidRDefault="00B5780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2B61F1" id="Text Box 10" o:spid="_x0000_s1029" type="#_x0000_t202" style="position:absolute;margin-left:-4.5pt;margin-top:-10.25pt;width:477pt;height:454.5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" fillcolor="white [3201]" strokeweight=".5pt">
                <v:textbox>
                  <w:txbxContent>
                    <w:p w14:paraId="6154CEF0" w14:textId="77777777" w:rsidR="00B5780E" w:rsidRDefault="00B5780E"/>
                  </w:txbxContent>
                </v:textbox>
              </v:shape>
            </w:pict>
          </mc:Fallback>
        </mc:AlternateContent>
      </w:r>
      <w:r w:rsidR="00B128E8" w:rsidRPr="001F7008">
        <w:rPr>
          <w:rFonts w:eastAsia="Calibri"/>
          <w:sz w:val="22"/>
          <w:szCs w:val="22"/>
        </w:rPr>
        <w:t>3</w:t>
      </w:r>
      <w:r w:rsidR="00BE7A00">
        <w:rPr>
          <w:rFonts w:eastAsia="Calibri"/>
          <w:sz w:val="22"/>
          <w:szCs w:val="22"/>
        </w:rPr>
        <w:t>4-</w:t>
      </w:r>
      <w:r w:rsidR="00B128E8" w:rsidRPr="001F7008">
        <w:rPr>
          <w:rFonts w:eastAsia="Calibri"/>
          <w:sz w:val="22"/>
          <w:szCs w:val="22"/>
        </w:rPr>
        <w:t>2019:</w:t>
      </w:r>
      <w:r w:rsidR="00B128E8" w:rsidRPr="001F7008">
        <w:rPr>
          <w:rFonts w:eastAsia="Calibri"/>
          <w:sz w:val="22"/>
          <w:szCs w:val="22"/>
        </w:rPr>
        <w:tab/>
      </w:r>
      <w:r w:rsidR="00B128E8" w:rsidRPr="001F7008">
        <w:rPr>
          <w:rFonts w:eastAsia="Calibri"/>
          <w:sz w:val="22"/>
          <w:szCs w:val="22"/>
        </w:rPr>
        <w:tab/>
      </w:r>
      <w:r w:rsidR="00B128E8" w:rsidRPr="001F7008">
        <w:rPr>
          <w:rFonts w:eastAsia="Calibri"/>
          <w:sz w:val="22"/>
          <w:szCs w:val="22"/>
        </w:rPr>
        <w:tab/>
      </w:r>
      <w:r w:rsidR="00B128E8" w:rsidRPr="001F7008">
        <w:rPr>
          <w:rFonts w:eastAsia="Calibri"/>
          <w:sz w:val="22"/>
          <w:szCs w:val="22"/>
        </w:rPr>
        <w:tab/>
      </w:r>
      <w:r w:rsidR="00B128E8" w:rsidRPr="001F7008">
        <w:rPr>
          <w:rFonts w:eastAsia="Calibri"/>
          <w:sz w:val="22"/>
          <w:szCs w:val="22"/>
        </w:rPr>
        <w:tab/>
        <w:t>Designation and Safety Classification of Refrigerants</w:t>
      </w:r>
    </w:p>
    <w:p w14:paraId="10B1F3CC" w14:textId="77777777" w:rsidR="00B128E8" w:rsidRPr="001F7008" w:rsidRDefault="00B128E8" w:rsidP="00B128E8">
      <w:pPr>
        <w:widowControl/>
        <w:autoSpaceDE/>
        <w:autoSpaceDN/>
        <w:adjustRightInd/>
        <w:spacing w:after="160" w:line="259" w:lineRule="auto"/>
        <w:rPr>
          <w:rFonts w:eastAsia="Calibri"/>
          <w:sz w:val="22"/>
          <w:szCs w:val="22"/>
        </w:rPr>
      </w:pPr>
    </w:p>
    <w:p w14:paraId="15E29102" w14:textId="77777777" w:rsidR="00B128E8" w:rsidRPr="001F7008" w:rsidRDefault="00B128E8" w:rsidP="00B128E8">
      <w:pPr>
        <w:widowControl/>
        <w:autoSpaceDE/>
        <w:autoSpaceDN/>
        <w:adjustRightInd/>
        <w:spacing w:after="160" w:line="259" w:lineRule="auto"/>
        <w:ind w:left="4320" w:hanging="4320"/>
        <w:rPr>
          <w:rFonts w:eastAsia="Calibri"/>
          <w:sz w:val="22"/>
          <w:szCs w:val="22"/>
        </w:rPr>
      </w:pPr>
      <w:r w:rsidRPr="001F7008">
        <w:rPr>
          <w:rFonts w:eastAsia="Calibri"/>
          <w:sz w:val="22"/>
          <w:szCs w:val="22"/>
        </w:rPr>
        <w:t>CSA</w:t>
      </w:r>
      <w:r w:rsidRPr="001F7008">
        <w:rPr>
          <w:rFonts w:eastAsia="Calibri"/>
          <w:sz w:val="22"/>
          <w:szCs w:val="22"/>
        </w:rPr>
        <w:tab/>
        <w:t>CSA Group                                                                                                                                                  8501 East Pleasant Valley Road                                                                                                          Cleveland, OH 44131-5516</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5"/>
        <w:gridCol w:w="5125"/>
      </w:tblGrid>
      <w:tr w:rsidR="00B128E8" w:rsidRPr="001F7008" w14:paraId="6BA7A67E" w14:textId="77777777" w:rsidTr="000F7594">
        <w:tc>
          <w:tcPr>
            <w:tcW w:w="4225" w:type="dxa"/>
            <w:tcBorders>
              <w:top w:val="single" w:sz="4" w:space="0" w:color="auto"/>
              <w:bottom w:val="single" w:sz="4" w:space="0" w:color="auto"/>
            </w:tcBorders>
          </w:tcPr>
          <w:p w14:paraId="2FE1C089" w14:textId="77777777" w:rsidR="00B128E8" w:rsidRPr="001F7008" w:rsidRDefault="00B128E8" w:rsidP="000F7594">
            <w:pPr>
              <w:widowControl/>
              <w:autoSpaceDE/>
              <w:autoSpaceDN/>
              <w:adjustRightInd/>
              <w:rPr>
                <w:sz w:val="22"/>
                <w:szCs w:val="22"/>
              </w:rPr>
            </w:pPr>
            <w:bookmarkStart w:id="2" w:name="_Hlk38528224"/>
            <w:r w:rsidRPr="001F7008">
              <w:rPr>
                <w:sz w:val="22"/>
                <w:szCs w:val="22"/>
              </w:rPr>
              <w:t>Standard referenced</w:t>
            </w:r>
          </w:p>
        </w:tc>
        <w:tc>
          <w:tcPr>
            <w:tcW w:w="5125" w:type="dxa"/>
            <w:tcBorders>
              <w:top w:val="single" w:sz="4" w:space="0" w:color="auto"/>
              <w:bottom w:val="single" w:sz="4" w:space="0" w:color="auto"/>
            </w:tcBorders>
          </w:tcPr>
          <w:p w14:paraId="02A41433" w14:textId="77777777" w:rsidR="00B128E8" w:rsidRPr="001F7008" w:rsidRDefault="00B128E8" w:rsidP="000F7594">
            <w:pPr>
              <w:widowControl/>
              <w:autoSpaceDE/>
              <w:autoSpaceDN/>
              <w:adjustRightInd/>
              <w:rPr>
                <w:sz w:val="22"/>
                <w:szCs w:val="22"/>
              </w:rPr>
            </w:pPr>
            <w:r w:rsidRPr="001F7008">
              <w:rPr>
                <w:sz w:val="22"/>
                <w:szCs w:val="22"/>
              </w:rPr>
              <w:t>Title</w:t>
            </w:r>
          </w:p>
        </w:tc>
      </w:tr>
      <w:tr w:rsidR="00B128E8" w:rsidRPr="001F7008" w14:paraId="51357444" w14:textId="77777777" w:rsidTr="000F7594">
        <w:tc>
          <w:tcPr>
            <w:tcW w:w="4225" w:type="dxa"/>
            <w:tcBorders>
              <w:top w:val="single" w:sz="4" w:space="0" w:color="auto"/>
            </w:tcBorders>
          </w:tcPr>
          <w:p w14:paraId="19AB11EF" w14:textId="77777777" w:rsidR="00B128E8" w:rsidRPr="001F7008" w:rsidRDefault="00B128E8" w:rsidP="000F7594">
            <w:pPr>
              <w:widowControl/>
              <w:autoSpaceDE/>
              <w:autoSpaceDN/>
              <w:adjustRightInd/>
              <w:rPr>
                <w:sz w:val="22"/>
                <w:szCs w:val="22"/>
              </w:rPr>
            </w:pPr>
          </w:p>
          <w:p w14:paraId="52DBC66E" w14:textId="6E0133E3" w:rsidR="00B128E8" w:rsidRPr="001F7008" w:rsidRDefault="00B128E8" w:rsidP="000F7594">
            <w:pPr>
              <w:widowControl/>
              <w:autoSpaceDE/>
              <w:autoSpaceDN/>
              <w:adjustRightInd/>
              <w:rPr>
                <w:sz w:val="22"/>
                <w:szCs w:val="22"/>
              </w:rPr>
            </w:pPr>
            <w:r w:rsidRPr="001F7008">
              <w:rPr>
                <w:sz w:val="22"/>
                <w:szCs w:val="22"/>
              </w:rPr>
              <w:t>CAN/CSA/C22.2 No.                                 60335-2-40-2019</w:t>
            </w:r>
          </w:p>
          <w:p w14:paraId="5458442C" w14:textId="77777777" w:rsidR="00B128E8" w:rsidRPr="001F7008" w:rsidRDefault="00B128E8" w:rsidP="000F7594">
            <w:pPr>
              <w:widowControl/>
              <w:autoSpaceDE/>
              <w:autoSpaceDN/>
              <w:adjustRightInd/>
              <w:rPr>
                <w:sz w:val="22"/>
                <w:szCs w:val="22"/>
              </w:rPr>
            </w:pPr>
          </w:p>
        </w:tc>
        <w:tc>
          <w:tcPr>
            <w:tcW w:w="5125" w:type="dxa"/>
            <w:tcBorders>
              <w:top w:val="single" w:sz="4" w:space="0" w:color="auto"/>
            </w:tcBorders>
          </w:tcPr>
          <w:p w14:paraId="593C407F" w14:textId="77777777" w:rsidR="00B128E8" w:rsidRPr="001F7008" w:rsidRDefault="00B128E8" w:rsidP="000F7594">
            <w:pPr>
              <w:widowControl/>
              <w:autoSpaceDE/>
              <w:autoSpaceDN/>
              <w:adjustRightInd/>
              <w:rPr>
                <w:sz w:val="22"/>
                <w:szCs w:val="22"/>
              </w:rPr>
            </w:pPr>
          </w:p>
          <w:p w14:paraId="77833348" w14:textId="77777777" w:rsidR="00B128E8" w:rsidRPr="001F7008" w:rsidRDefault="00B128E8" w:rsidP="000F7594">
            <w:pPr>
              <w:widowControl/>
              <w:autoSpaceDE/>
              <w:autoSpaceDN/>
              <w:adjustRightInd/>
              <w:rPr>
                <w:sz w:val="22"/>
                <w:szCs w:val="22"/>
              </w:rPr>
            </w:pPr>
            <w:r w:rsidRPr="001F7008">
              <w:rPr>
                <w:sz w:val="22"/>
                <w:szCs w:val="22"/>
              </w:rPr>
              <w:t>Safety of Household and Similar Electric</w:t>
            </w:r>
          </w:p>
          <w:p w14:paraId="7F53479D" w14:textId="77777777" w:rsidR="00B128E8" w:rsidRPr="001F7008" w:rsidRDefault="00B128E8" w:rsidP="000F7594">
            <w:pPr>
              <w:widowControl/>
              <w:autoSpaceDE/>
              <w:autoSpaceDN/>
              <w:adjustRightInd/>
              <w:rPr>
                <w:sz w:val="22"/>
                <w:szCs w:val="22"/>
              </w:rPr>
            </w:pPr>
            <w:r w:rsidRPr="001F7008">
              <w:rPr>
                <w:sz w:val="22"/>
                <w:szCs w:val="22"/>
              </w:rPr>
              <w:t>Appliances, Part 2-40: Particular Requirements for Electrical Heat Pumps, Air-Conditioners and Dehumidifiers-3</w:t>
            </w:r>
            <w:r w:rsidRPr="001F7008">
              <w:rPr>
                <w:sz w:val="22"/>
                <w:szCs w:val="22"/>
                <w:vertAlign w:val="superscript"/>
              </w:rPr>
              <w:t>rd</w:t>
            </w:r>
            <w:r w:rsidRPr="001F7008">
              <w:rPr>
                <w:sz w:val="22"/>
                <w:szCs w:val="22"/>
              </w:rPr>
              <w:t xml:space="preserve"> edition</w:t>
            </w:r>
          </w:p>
          <w:p w14:paraId="38EF58FB" w14:textId="77777777" w:rsidR="00B128E8" w:rsidRPr="001F7008" w:rsidRDefault="00B128E8" w:rsidP="000F7594">
            <w:pPr>
              <w:widowControl/>
              <w:autoSpaceDE/>
              <w:autoSpaceDN/>
              <w:adjustRightInd/>
              <w:rPr>
                <w:sz w:val="22"/>
                <w:szCs w:val="22"/>
              </w:rPr>
            </w:pPr>
          </w:p>
        </w:tc>
      </w:tr>
      <w:bookmarkEnd w:id="2"/>
    </w:tbl>
    <w:p w14:paraId="0ABA41CD" w14:textId="77777777" w:rsidR="00B128E8" w:rsidRPr="001F7008" w:rsidRDefault="00B128E8" w:rsidP="00B128E8">
      <w:pPr>
        <w:widowControl/>
        <w:autoSpaceDE/>
        <w:autoSpaceDN/>
        <w:adjustRightInd/>
        <w:spacing w:after="160" w:line="259" w:lineRule="auto"/>
        <w:rPr>
          <w:rFonts w:eastAsia="Calibri"/>
          <w:sz w:val="22"/>
          <w:szCs w:val="22"/>
        </w:rPr>
      </w:pPr>
    </w:p>
    <w:p w14:paraId="267B1AEF" w14:textId="77777777" w:rsidR="00B128E8" w:rsidRPr="001F7008" w:rsidRDefault="00B128E8" w:rsidP="00B128E8">
      <w:pPr>
        <w:widowControl/>
        <w:autoSpaceDE/>
        <w:autoSpaceDN/>
        <w:adjustRightInd/>
        <w:spacing w:after="160" w:line="259" w:lineRule="auto"/>
        <w:ind w:left="4320" w:hanging="4320"/>
        <w:rPr>
          <w:rFonts w:eastAsia="Calibri"/>
          <w:sz w:val="22"/>
          <w:szCs w:val="22"/>
        </w:rPr>
      </w:pPr>
      <w:r w:rsidRPr="001F7008">
        <w:rPr>
          <w:rFonts w:eastAsia="Calibri"/>
          <w:sz w:val="22"/>
          <w:szCs w:val="22"/>
        </w:rPr>
        <w:t>UL</w:t>
      </w:r>
      <w:r w:rsidRPr="001F7008">
        <w:rPr>
          <w:rFonts w:eastAsia="Calibri"/>
          <w:sz w:val="22"/>
          <w:szCs w:val="22"/>
        </w:rPr>
        <w:tab/>
        <w:t>UL LLC                                                                                                                                                            333 Pfingsten Road                                                                                                                                             Northbrook, IL 60062</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5"/>
        <w:gridCol w:w="5125"/>
      </w:tblGrid>
      <w:tr w:rsidR="00B128E8" w:rsidRPr="001F7008" w14:paraId="11667103" w14:textId="77777777" w:rsidTr="000F7594">
        <w:tc>
          <w:tcPr>
            <w:tcW w:w="4225" w:type="dxa"/>
            <w:tcBorders>
              <w:top w:val="single" w:sz="4" w:space="0" w:color="auto"/>
              <w:bottom w:val="single" w:sz="4" w:space="0" w:color="auto"/>
            </w:tcBorders>
          </w:tcPr>
          <w:p w14:paraId="5BC504E9" w14:textId="77777777" w:rsidR="00B128E8" w:rsidRPr="001F7008" w:rsidRDefault="00B128E8" w:rsidP="000F7594">
            <w:pPr>
              <w:widowControl/>
              <w:autoSpaceDE/>
              <w:autoSpaceDN/>
              <w:adjustRightInd/>
              <w:rPr>
                <w:sz w:val="22"/>
                <w:szCs w:val="22"/>
              </w:rPr>
            </w:pPr>
            <w:r w:rsidRPr="001F7008">
              <w:rPr>
                <w:sz w:val="22"/>
                <w:szCs w:val="22"/>
              </w:rPr>
              <w:t>Standard referenced</w:t>
            </w:r>
          </w:p>
        </w:tc>
        <w:tc>
          <w:tcPr>
            <w:tcW w:w="5125" w:type="dxa"/>
            <w:tcBorders>
              <w:top w:val="single" w:sz="4" w:space="0" w:color="auto"/>
              <w:bottom w:val="single" w:sz="4" w:space="0" w:color="auto"/>
            </w:tcBorders>
          </w:tcPr>
          <w:p w14:paraId="305A406D" w14:textId="77777777" w:rsidR="00B128E8" w:rsidRPr="001F7008" w:rsidRDefault="00B128E8" w:rsidP="000F7594">
            <w:pPr>
              <w:widowControl/>
              <w:autoSpaceDE/>
              <w:autoSpaceDN/>
              <w:adjustRightInd/>
              <w:rPr>
                <w:sz w:val="22"/>
                <w:szCs w:val="22"/>
              </w:rPr>
            </w:pPr>
            <w:r w:rsidRPr="001F7008">
              <w:rPr>
                <w:sz w:val="22"/>
                <w:szCs w:val="22"/>
              </w:rPr>
              <w:t>Title</w:t>
            </w:r>
          </w:p>
        </w:tc>
      </w:tr>
    </w:tbl>
    <w:p w14:paraId="220A4AA5" w14:textId="77777777" w:rsidR="00B128E8" w:rsidRPr="001F7008" w:rsidRDefault="00B128E8" w:rsidP="00B128E8">
      <w:pPr>
        <w:widowControl/>
        <w:autoSpaceDE/>
        <w:autoSpaceDN/>
        <w:adjustRightInd/>
        <w:spacing w:after="160" w:line="259" w:lineRule="auto"/>
        <w:ind w:left="4320" w:hanging="4320"/>
        <w:rPr>
          <w:rFonts w:eastAsia="Calibri"/>
          <w:sz w:val="22"/>
          <w:szCs w:val="22"/>
        </w:rPr>
      </w:pPr>
    </w:p>
    <w:p w14:paraId="7FDE6B83" w14:textId="219B078F" w:rsidR="00B128E8" w:rsidRPr="001F7008" w:rsidRDefault="00B128E8" w:rsidP="00B128E8">
      <w:pPr>
        <w:widowControl/>
        <w:autoSpaceDE/>
        <w:autoSpaceDN/>
        <w:adjustRightInd/>
        <w:spacing w:after="160" w:line="259" w:lineRule="auto"/>
        <w:ind w:left="4320" w:hanging="4320"/>
        <w:rPr>
          <w:rFonts w:eastAsia="Calibri"/>
          <w:strike/>
          <w:sz w:val="22"/>
          <w:szCs w:val="22"/>
        </w:rPr>
      </w:pPr>
      <w:r w:rsidRPr="001F7008">
        <w:rPr>
          <w:rFonts w:eastAsia="Calibri"/>
          <w:sz w:val="22"/>
          <w:szCs w:val="22"/>
        </w:rPr>
        <w:t>1995</w:t>
      </w:r>
      <w:r w:rsidR="00AB2C64">
        <w:rPr>
          <w:rFonts w:eastAsia="Calibri"/>
          <w:sz w:val="22"/>
          <w:szCs w:val="22"/>
        </w:rPr>
        <w:t>-</w:t>
      </w:r>
      <w:r w:rsidRPr="001F7008">
        <w:rPr>
          <w:rFonts w:eastAsia="Calibri"/>
          <w:sz w:val="22"/>
          <w:szCs w:val="22"/>
        </w:rPr>
        <w:t xml:space="preserve">2015: </w:t>
      </w:r>
      <w:r w:rsidRPr="001F7008">
        <w:rPr>
          <w:rFonts w:eastAsia="Calibri"/>
          <w:sz w:val="22"/>
          <w:szCs w:val="22"/>
        </w:rPr>
        <w:tab/>
        <w:t>Heating and Cooling Equipment</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5"/>
        <w:gridCol w:w="5125"/>
      </w:tblGrid>
      <w:tr w:rsidR="00B128E8" w:rsidRPr="001F7008" w14:paraId="21AD0AFD" w14:textId="77777777" w:rsidTr="000F7594">
        <w:tc>
          <w:tcPr>
            <w:tcW w:w="4225" w:type="dxa"/>
          </w:tcPr>
          <w:p w14:paraId="12CF7D0C" w14:textId="6EB1487B" w:rsidR="00B128E8" w:rsidRPr="001F7008" w:rsidRDefault="00B128E8" w:rsidP="000F7594">
            <w:pPr>
              <w:widowControl/>
              <w:autoSpaceDE/>
              <w:autoSpaceDN/>
              <w:adjustRightInd/>
              <w:rPr>
                <w:sz w:val="22"/>
                <w:szCs w:val="22"/>
              </w:rPr>
            </w:pPr>
            <w:r w:rsidRPr="001F7008">
              <w:rPr>
                <w:sz w:val="22"/>
                <w:szCs w:val="22"/>
              </w:rPr>
              <w:t>UL/CSA</w:t>
            </w:r>
            <w:r w:rsidRPr="001F7008">
              <w:rPr>
                <w:strike/>
                <w:sz w:val="22"/>
                <w:szCs w:val="22"/>
              </w:rPr>
              <w:t>/</w:t>
            </w:r>
            <w:r w:rsidRPr="001F7008">
              <w:rPr>
                <w:sz w:val="22"/>
                <w:szCs w:val="22"/>
              </w:rPr>
              <w:t xml:space="preserve">                                            60335-2-40-2019:</w:t>
            </w:r>
          </w:p>
          <w:p w14:paraId="3CFD03F6" w14:textId="77777777" w:rsidR="00B128E8" w:rsidRPr="001F7008" w:rsidRDefault="00B128E8" w:rsidP="000F7594">
            <w:pPr>
              <w:widowControl/>
              <w:autoSpaceDE/>
              <w:autoSpaceDN/>
              <w:adjustRightInd/>
              <w:rPr>
                <w:sz w:val="22"/>
                <w:szCs w:val="22"/>
              </w:rPr>
            </w:pPr>
          </w:p>
        </w:tc>
        <w:tc>
          <w:tcPr>
            <w:tcW w:w="5125" w:type="dxa"/>
          </w:tcPr>
          <w:p w14:paraId="518DBC99" w14:textId="77777777" w:rsidR="00B128E8" w:rsidRPr="001F7008" w:rsidRDefault="00B128E8" w:rsidP="000F7594">
            <w:pPr>
              <w:widowControl/>
              <w:autoSpaceDE/>
              <w:autoSpaceDN/>
              <w:adjustRightInd/>
              <w:rPr>
                <w:sz w:val="22"/>
                <w:szCs w:val="22"/>
              </w:rPr>
            </w:pPr>
            <w:r w:rsidRPr="001F7008">
              <w:rPr>
                <w:sz w:val="22"/>
                <w:szCs w:val="22"/>
              </w:rPr>
              <w:t>Safety of Household and Similar Electrical</w:t>
            </w:r>
          </w:p>
          <w:p w14:paraId="45891751" w14:textId="1E86BFA1" w:rsidR="00B128E8" w:rsidRPr="001F7008" w:rsidRDefault="00B128E8" w:rsidP="000F7594">
            <w:pPr>
              <w:widowControl/>
              <w:autoSpaceDE/>
              <w:autoSpaceDN/>
              <w:adjustRightInd/>
              <w:rPr>
                <w:sz w:val="22"/>
                <w:szCs w:val="22"/>
              </w:rPr>
            </w:pPr>
            <w:r w:rsidRPr="001F7008">
              <w:rPr>
                <w:sz w:val="22"/>
                <w:szCs w:val="22"/>
              </w:rPr>
              <w:t>Appliances, Part 2-40: Particular Requirements for  Electrical Heat Pumps, Air-Conditioners and Dehumidifiers-3</w:t>
            </w:r>
            <w:r w:rsidRPr="001F7008">
              <w:rPr>
                <w:sz w:val="22"/>
                <w:szCs w:val="22"/>
                <w:vertAlign w:val="superscript"/>
              </w:rPr>
              <w:t>rd</w:t>
            </w:r>
            <w:r w:rsidRPr="001F7008">
              <w:rPr>
                <w:sz w:val="22"/>
                <w:szCs w:val="22"/>
              </w:rPr>
              <w:t xml:space="preserve"> Edition</w:t>
            </w:r>
          </w:p>
          <w:p w14:paraId="3750612F" w14:textId="77777777" w:rsidR="00B128E8" w:rsidRPr="001F7008" w:rsidRDefault="00B128E8" w:rsidP="000F7594">
            <w:pPr>
              <w:widowControl/>
              <w:autoSpaceDE/>
              <w:autoSpaceDN/>
              <w:adjustRightInd/>
              <w:rPr>
                <w:sz w:val="22"/>
                <w:szCs w:val="22"/>
              </w:rPr>
            </w:pPr>
          </w:p>
        </w:tc>
      </w:tr>
    </w:tbl>
    <w:p w14:paraId="4572B9D8" w14:textId="45218709" w:rsidR="004E0960" w:rsidRPr="001F7008" w:rsidRDefault="00B5780E" w:rsidP="001F7008">
      <w:pPr>
        <w:widowControl/>
        <w:autoSpaceDE/>
        <w:autoSpaceDN/>
        <w:adjustRightInd/>
        <w:jc w:val="center"/>
        <w:rPr>
          <w:sz w:val="22"/>
          <w:szCs w:val="22"/>
        </w:rPr>
      </w:pPr>
      <w:r w:rsidRPr="001F7008">
        <w:rPr>
          <w:sz w:val="22"/>
          <w:szCs w:val="22"/>
        </w:rPr>
        <w:t>Table 2</w:t>
      </w:r>
    </w:p>
    <w:p w14:paraId="095B89DF" w14:textId="77777777" w:rsidR="00B5780E" w:rsidRPr="001F7008" w:rsidRDefault="00B5780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left="1080"/>
        <w:jc w:val="both"/>
        <w:rPr>
          <w:rFonts w:eastAsia="PMingLiU"/>
          <w:sz w:val="22"/>
          <w:szCs w:val="22"/>
        </w:rPr>
      </w:pPr>
    </w:p>
    <w:p w14:paraId="7EC941E6" w14:textId="5472C64F" w:rsidR="00511F20" w:rsidRPr="001F7008" w:rsidRDefault="00E523C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left="1080"/>
        <w:jc w:val="both"/>
        <w:rPr>
          <w:rFonts w:eastAsia="PMingLiU"/>
          <w:sz w:val="22"/>
          <w:szCs w:val="22"/>
        </w:rPr>
      </w:pPr>
      <w:r w:rsidRPr="001F7008">
        <w:rPr>
          <w:rFonts w:eastAsia="PMingLiU"/>
          <w:sz w:val="22"/>
          <w:szCs w:val="22"/>
        </w:rPr>
        <w:t>4.1.</w:t>
      </w:r>
      <w:r w:rsidR="00731E7B" w:rsidRPr="001F7008">
        <w:rPr>
          <w:rFonts w:eastAsia="PMingLiU"/>
          <w:sz w:val="22"/>
          <w:szCs w:val="22"/>
        </w:rPr>
        <w:t>i</w:t>
      </w:r>
      <w:r w:rsidRPr="001F7008">
        <w:rPr>
          <w:rFonts w:eastAsia="PMingLiU"/>
          <w:sz w:val="22"/>
          <w:szCs w:val="22"/>
        </w:rPr>
        <w:t xml:space="preserve">.  </w:t>
      </w:r>
      <w:r w:rsidR="00511F20" w:rsidRPr="001F7008">
        <w:rPr>
          <w:rFonts w:eastAsia="PMingLiU"/>
          <w:sz w:val="22"/>
          <w:szCs w:val="22"/>
        </w:rPr>
        <w:t xml:space="preserve">Section </w:t>
      </w:r>
      <w:r w:rsidR="00DB2E5D" w:rsidRPr="001F7008">
        <w:rPr>
          <w:rFonts w:eastAsia="PMingLiU"/>
          <w:sz w:val="22"/>
          <w:szCs w:val="22"/>
        </w:rPr>
        <w:t xml:space="preserve">R311.7.5 </w:t>
      </w:r>
      <w:r w:rsidR="00511F20" w:rsidRPr="001F7008">
        <w:rPr>
          <w:rFonts w:eastAsia="PMingLiU"/>
          <w:sz w:val="22"/>
          <w:szCs w:val="22"/>
        </w:rPr>
        <w:t>Stair Treads and Risers</w:t>
      </w:r>
    </w:p>
    <w:p w14:paraId="09F2162F"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749C5D8" w14:textId="50085E13"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Pr>
          <w:rFonts w:eastAsia="PMingLiU"/>
          <w:sz w:val="22"/>
          <w:szCs w:val="22"/>
        </w:rPr>
        <w:tab/>
      </w:r>
      <w:r w:rsidR="007E63D8">
        <w:rPr>
          <w:rFonts w:eastAsia="PMingLiU"/>
          <w:sz w:val="22"/>
          <w:szCs w:val="22"/>
        </w:rPr>
        <w:tab/>
      </w:r>
      <w:r w:rsidR="001C0AF9" w:rsidRPr="001F7008">
        <w:rPr>
          <w:rFonts w:eastAsia="PMingLiU"/>
          <w:sz w:val="22"/>
          <w:szCs w:val="22"/>
        </w:rPr>
        <w:t>4.1.</w:t>
      </w:r>
      <w:r w:rsidR="00731E7B" w:rsidRPr="001F7008">
        <w:rPr>
          <w:rFonts w:eastAsia="PMingLiU"/>
          <w:sz w:val="22"/>
          <w:szCs w:val="22"/>
        </w:rPr>
        <w:t>i</w:t>
      </w:r>
      <w:r w:rsidR="001C0AF9" w:rsidRPr="001F7008">
        <w:rPr>
          <w:rFonts w:eastAsia="PMingLiU"/>
          <w:sz w:val="22"/>
          <w:szCs w:val="22"/>
        </w:rPr>
        <w:t>.</w:t>
      </w:r>
      <w:r w:rsidR="000D19F1">
        <w:rPr>
          <w:rFonts w:eastAsia="PMingLiU"/>
          <w:sz w:val="22"/>
          <w:szCs w:val="22"/>
        </w:rPr>
        <w:t>1</w:t>
      </w:r>
      <w:r w:rsidR="00E523CE" w:rsidRPr="001F7008">
        <w:rPr>
          <w:rFonts w:eastAsia="PMingLiU"/>
          <w:sz w:val="22"/>
          <w:szCs w:val="22"/>
        </w:rPr>
        <w:t xml:space="preserve">.  </w:t>
      </w:r>
      <w:r w:rsidR="00DB2E5D" w:rsidRPr="001F7008">
        <w:rPr>
          <w:rFonts w:eastAsia="PMingLiU"/>
          <w:sz w:val="22"/>
          <w:szCs w:val="22"/>
        </w:rPr>
        <w:t>311.7.5.1</w:t>
      </w:r>
      <w:r w:rsidR="00511F20" w:rsidRPr="001F7008">
        <w:rPr>
          <w:rFonts w:eastAsia="PMingLiU"/>
          <w:sz w:val="22"/>
          <w:szCs w:val="22"/>
        </w:rPr>
        <w:t xml:space="preserve"> Riser Heights  --  The maximum riser height shall be eight and one-quarter (8 ¼) inches.</w:t>
      </w:r>
    </w:p>
    <w:p w14:paraId="5437AEDB"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73BFB05" w14:textId="1AA493F4" w:rsidR="00511F20" w:rsidRPr="001F7008" w:rsidRDefault="007E63D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925EF8">
        <w:rPr>
          <w:rFonts w:eastAsia="PMingLiU"/>
          <w:sz w:val="22"/>
          <w:szCs w:val="22"/>
        </w:rPr>
        <w:tab/>
      </w:r>
      <w:r w:rsidR="00925EF8">
        <w:rPr>
          <w:rFonts w:eastAsia="PMingLiU"/>
          <w:sz w:val="22"/>
          <w:szCs w:val="22"/>
        </w:rPr>
        <w:tab/>
      </w:r>
      <w:r w:rsidR="00925EF8">
        <w:rPr>
          <w:rFonts w:eastAsia="PMingLiU"/>
          <w:sz w:val="22"/>
          <w:szCs w:val="22"/>
        </w:rPr>
        <w:tab/>
      </w:r>
      <w:r w:rsidR="00925EF8">
        <w:rPr>
          <w:rFonts w:eastAsia="PMingLiU"/>
          <w:sz w:val="22"/>
          <w:szCs w:val="22"/>
        </w:rPr>
        <w:tab/>
      </w:r>
      <w:r w:rsidR="001C0AF9" w:rsidRPr="001F7008">
        <w:rPr>
          <w:rFonts w:eastAsia="PMingLiU"/>
          <w:sz w:val="22"/>
          <w:szCs w:val="22"/>
        </w:rPr>
        <w:t>4.1.</w:t>
      </w:r>
      <w:r w:rsidR="00731E7B" w:rsidRPr="001F7008">
        <w:rPr>
          <w:rFonts w:eastAsia="PMingLiU"/>
          <w:sz w:val="22"/>
          <w:szCs w:val="22"/>
        </w:rPr>
        <w:t>i</w:t>
      </w:r>
      <w:r w:rsidR="001C0AF9" w:rsidRPr="001F7008">
        <w:rPr>
          <w:rFonts w:eastAsia="PMingLiU"/>
          <w:sz w:val="22"/>
          <w:szCs w:val="22"/>
        </w:rPr>
        <w:t>.2</w:t>
      </w:r>
      <w:r w:rsidR="00E523CE" w:rsidRPr="001F7008">
        <w:rPr>
          <w:rFonts w:eastAsia="PMingLiU"/>
          <w:sz w:val="22"/>
          <w:szCs w:val="22"/>
        </w:rPr>
        <w:t xml:space="preserve">.  </w:t>
      </w:r>
      <w:r w:rsidR="00DB2E5D" w:rsidRPr="001F7008">
        <w:rPr>
          <w:rFonts w:eastAsia="PMingLiU"/>
          <w:sz w:val="22"/>
          <w:szCs w:val="22"/>
        </w:rPr>
        <w:t>311.7.5.2</w:t>
      </w:r>
      <w:r w:rsidR="00511F20" w:rsidRPr="001F7008">
        <w:rPr>
          <w:rFonts w:eastAsia="PMingLiU"/>
          <w:sz w:val="22"/>
          <w:szCs w:val="22"/>
        </w:rPr>
        <w:t xml:space="preserve"> Tread Depth  --  The minimum tread depth shall be nine (9) inches.</w:t>
      </w:r>
    </w:p>
    <w:p w14:paraId="5319EB7F"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46C4A92" w14:textId="659CD306"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E523CE" w:rsidRPr="001F7008">
        <w:rPr>
          <w:rFonts w:eastAsia="PMingLiU"/>
          <w:sz w:val="22"/>
          <w:szCs w:val="22"/>
        </w:rPr>
        <w:t>4.1.</w:t>
      </w:r>
      <w:r w:rsidR="007E63D8">
        <w:rPr>
          <w:rFonts w:eastAsia="PMingLiU"/>
          <w:sz w:val="22"/>
          <w:szCs w:val="22"/>
        </w:rPr>
        <w:t>j</w:t>
      </w:r>
      <w:r w:rsidR="00E523CE" w:rsidRPr="001F7008">
        <w:rPr>
          <w:rFonts w:eastAsia="PMingLiU"/>
          <w:sz w:val="22"/>
          <w:szCs w:val="22"/>
        </w:rPr>
        <w:t xml:space="preserve">.  </w:t>
      </w:r>
      <w:r w:rsidR="00511F20" w:rsidRPr="001F7008">
        <w:rPr>
          <w:rFonts w:eastAsia="PMingLiU"/>
          <w:sz w:val="22"/>
          <w:szCs w:val="22"/>
        </w:rPr>
        <w:t xml:space="preserve">Section R403.1.7.1:  Building Clearances </w:t>
      </w:r>
      <w:r w:rsidR="00870603" w:rsidRPr="001F7008">
        <w:rPr>
          <w:rFonts w:eastAsia="PMingLiU"/>
          <w:sz w:val="22"/>
          <w:szCs w:val="22"/>
        </w:rPr>
        <w:t>from</w:t>
      </w:r>
      <w:r w:rsidR="00511F20" w:rsidRPr="001F7008">
        <w:rPr>
          <w:rFonts w:eastAsia="PMingLiU"/>
          <w:sz w:val="22"/>
          <w:szCs w:val="22"/>
        </w:rPr>
        <w:t xml:space="preserve"> Ascending Slopes is not applicable to this rule. </w:t>
      </w:r>
    </w:p>
    <w:p w14:paraId="697577F0"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A87152B" w14:textId="6FB42E41"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092E4B" w:rsidRPr="001F7008">
        <w:rPr>
          <w:rFonts w:eastAsia="PMingLiU"/>
          <w:sz w:val="22"/>
          <w:szCs w:val="22"/>
        </w:rPr>
        <w:t>4.1.</w:t>
      </w:r>
      <w:r w:rsidR="007E63D8">
        <w:rPr>
          <w:rFonts w:eastAsia="PMingLiU"/>
          <w:sz w:val="22"/>
          <w:szCs w:val="22"/>
        </w:rPr>
        <w:t>k</w:t>
      </w:r>
      <w:r w:rsidR="00092E4B" w:rsidRPr="001F7008">
        <w:rPr>
          <w:rFonts w:eastAsia="PMingLiU"/>
          <w:sz w:val="22"/>
          <w:szCs w:val="22"/>
        </w:rPr>
        <w:t>.</w:t>
      </w:r>
      <w:r w:rsidR="00E523CE" w:rsidRPr="001F7008">
        <w:rPr>
          <w:rFonts w:eastAsia="PMingLiU"/>
          <w:sz w:val="22"/>
          <w:szCs w:val="22"/>
        </w:rPr>
        <w:t xml:space="preserve">  </w:t>
      </w:r>
      <w:r w:rsidR="00511F20" w:rsidRPr="001F7008">
        <w:rPr>
          <w:rFonts w:eastAsia="PMingLiU"/>
          <w:sz w:val="22"/>
          <w:szCs w:val="22"/>
        </w:rPr>
        <w:t xml:space="preserve">Section R403.1.7.2:  Footings Setbacks </w:t>
      </w:r>
      <w:r w:rsidR="00870603" w:rsidRPr="001F7008">
        <w:rPr>
          <w:rFonts w:eastAsia="PMingLiU"/>
          <w:sz w:val="22"/>
          <w:szCs w:val="22"/>
        </w:rPr>
        <w:t>from</w:t>
      </w:r>
      <w:r w:rsidR="00511F20" w:rsidRPr="001F7008">
        <w:rPr>
          <w:rFonts w:eastAsia="PMingLiU"/>
          <w:sz w:val="22"/>
          <w:szCs w:val="22"/>
        </w:rPr>
        <w:t xml:space="preserve"> Descending Slope Surfaces is not applicable to this rule. </w:t>
      </w:r>
    </w:p>
    <w:p w14:paraId="0B43EA71"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785A008" w14:textId="448D86FB"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sidR="007E63D8">
        <w:rPr>
          <w:rFonts w:eastAsia="PMingLiU"/>
          <w:sz w:val="22"/>
          <w:szCs w:val="22"/>
        </w:rPr>
        <w:tab/>
      </w:r>
      <w:r w:rsidR="009F0246" w:rsidRPr="001F7008">
        <w:rPr>
          <w:rFonts w:eastAsia="PMingLiU"/>
          <w:sz w:val="22"/>
          <w:szCs w:val="22"/>
        </w:rPr>
        <w:t>4.1.</w:t>
      </w:r>
      <w:r w:rsidR="007E63D8">
        <w:rPr>
          <w:rFonts w:eastAsia="PMingLiU"/>
          <w:sz w:val="22"/>
          <w:szCs w:val="22"/>
        </w:rPr>
        <w:t>l</w:t>
      </w:r>
      <w:r w:rsidR="009F0246" w:rsidRPr="001F7008">
        <w:rPr>
          <w:rFonts w:eastAsia="PMingLiU"/>
          <w:sz w:val="22"/>
          <w:szCs w:val="22"/>
        </w:rPr>
        <w:t>.</w:t>
      </w:r>
      <w:r w:rsidR="00511F20" w:rsidRPr="001F7008">
        <w:rPr>
          <w:rFonts w:eastAsia="PMingLiU"/>
          <w:sz w:val="22"/>
          <w:szCs w:val="22"/>
        </w:rPr>
        <w:t xml:space="preserve">  The 20</w:t>
      </w:r>
      <w:r w:rsidR="006327E4" w:rsidRPr="001F7008">
        <w:rPr>
          <w:rFonts w:eastAsia="PMingLiU"/>
          <w:sz w:val="22"/>
          <w:szCs w:val="22"/>
        </w:rPr>
        <w:t>17</w:t>
      </w:r>
      <w:r w:rsidR="00E67251" w:rsidRPr="001F7008">
        <w:rPr>
          <w:rFonts w:eastAsia="PMingLiU"/>
          <w:sz w:val="22"/>
          <w:szCs w:val="22"/>
        </w:rPr>
        <w:t xml:space="preserve"> </w:t>
      </w:r>
      <w:r w:rsidR="00511F20" w:rsidRPr="001F7008">
        <w:rPr>
          <w:rFonts w:eastAsia="PMingLiU"/>
          <w:sz w:val="22"/>
          <w:szCs w:val="22"/>
        </w:rPr>
        <w:t>ICC/ANSI A117.1 American National Standards for Accessibility &amp; Usable Buildings &amp; Facilities.</w:t>
      </w:r>
    </w:p>
    <w:p w14:paraId="6C592879" w14:textId="77777777" w:rsidR="00511F20" w:rsidRPr="00E81DE1"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372946E" w14:textId="09E99B0A"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sidR="007E63D8">
        <w:rPr>
          <w:rFonts w:eastAsia="PMingLiU"/>
          <w:sz w:val="22"/>
          <w:szCs w:val="22"/>
        </w:rPr>
        <w:tab/>
      </w:r>
      <w:r w:rsidR="007E63D8">
        <w:rPr>
          <w:rFonts w:eastAsia="PMingLiU"/>
          <w:sz w:val="22"/>
          <w:szCs w:val="22"/>
        </w:rPr>
        <w:tab/>
      </w:r>
      <w:r w:rsidR="009F0246" w:rsidRPr="00E81DE1">
        <w:rPr>
          <w:rFonts w:eastAsia="PMingLiU"/>
          <w:sz w:val="22"/>
          <w:szCs w:val="22"/>
        </w:rPr>
        <w:t>4.1.</w:t>
      </w:r>
      <w:r w:rsidR="007E63D8">
        <w:rPr>
          <w:rFonts w:eastAsia="PMingLiU"/>
          <w:sz w:val="22"/>
          <w:szCs w:val="22"/>
        </w:rPr>
        <w:t>l</w:t>
      </w:r>
      <w:r w:rsidR="00511F20" w:rsidRPr="00E81DE1">
        <w:rPr>
          <w:rFonts w:eastAsia="PMingLiU"/>
          <w:sz w:val="22"/>
          <w:szCs w:val="22"/>
        </w:rPr>
        <w:t>.</w:t>
      </w:r>
      <w:r w:rsidR="007E63D8">
        <w:rPr>
          <w:rFonts w:eastAsia="PMingLiU"/>
          <w:sz w:val="22"/>
          <w:szCs w:val="22"/>
        </w:rPr>
        <w:t>1.</w:t>
      </w:r>
      <w:r w:rsidR="00511F20" w:rsidRPr="00E81DE1">
        <w:rPr>
          <w:rFonts w:eastAsia="PMingLiU"/>
          <w:sz w:val="22"/>
          <w:szCs w:val="22"/>
        </w:rPr>
        <w:t xml:space="preserve"> </w:t>
      </w:r>
      <w:r w:rsidR="00E523CE" w:rsidRPr="00E81DE1">
        <w:rPr>
          <w:rFonts w:eastAsia="PMingLiU"/>
          <w:sz w:val="22"/>
          <w:szCs w:val="22"/>
        </w:rPr>
        <w:t xml:space="preserve"> </w:t>
      </w:r>
      <w:r w:rsidR="00511F20" w:rsidRPr="00E81DE1">
        <w:rPr>
          <w:rFonts w:eastAsia="PMingLiU"/>
          <w:sz w:val="22"/>
          <w:szCs w:val="22"/>
        </w:rPr>
        <w:t xml:space="preserve">The </w:t>
      </w:r>
      <w:r w:rsidR="00E45959" w:rsidRPr="001F7008">
        <w:rPr>
          <w:rFonts w:eastAsia="Calibri"/>
          <w:sz w:val="22"/>
          <w:szCs w:val="22"/>
        </w:rPr>
        <w:t>2018</w:t>
      </w:r>
      <w:r w:rsidR="00E45959" w:rsidRPr="001F7008">
        <w:rPr>
          <w:rFonts w:eastAsia="PMingLiU"/>
          <w:sz w:val="22"/>
          <w:szCs w:val="22"/>
        </w:rPr>
        <w:t xml:space="preserve"> </w:t>
      </w:r>
      <w:r w:rsidR="00511F20" w:rsidRPr="001F7008">
        <w:rPr>
          <w:rFonts w:eastAsia="PMingLiU"/>
          <w:sz w:val="22"/>
          <w:szCs w:val="22"/>
        </w:rPr>
        <w:t>International Existing Building Code, with the following exception:</w:t>
      </w:r>
    </w:p>
    <w:p w14:paraId="4DB51E25"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85257A5" w14:textId="34AEA893"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7E63D8">
        <w:rPr>
          <w:rFonts w:eastAsia="PMingLiU"/>
          <w:sz w:val="22"/>
          <w:szCs w:val="22"/>
        </w:rPr>
        <w:tab/>
      </w:r>
      <w:r w:rsidR="00511F20" w:rsidRPr="001F7008">
        <w:rPr>
          <w:rFonts w:eastAsia="PMingLiU"/>
          <w:sz w:val="22"/>
          <w:szCs w:val="22"/>
        </w:rPr>
        <w:t>4.1.</w:t>
      </w:r>
      <w:r w:rsidR="007E63D8">
        <w:rPr>
          <w:rFonts w:eastAsia="PMingLiU"/>
          <w:sz w:val="22"/>
          <w:szCs w:val="22"/>
        </w:rPr>
        <w:t>l</w:t>
      </w:r>
      <w:r w:rsidR="00511F20" w:rsidRPr="001F7008">
        <w:rPr>
          <w:rFonts w:eastAsia="PMingLiU"/>
          <w:sz w:val="22"/>
          <w:szCs w:val="22"/>
        </w:rPr>
        <w:t>.</w:t>
      </w:r>
      <w:r w:rsidR="007E63D8">
        <w:rPr>
          <w:rFonts w:eastAsia="PMingLiU"/>
          <w:sz w:val="22"/>
          <w:szCs w:val="22"/>
        </w:rPr>
        <w:t>2</w:t>
      </w:r>
      <w:r w:rsidR="00511F20" w:rsidRPr="001F7008">
        <w:rPr>
          <w:rFonts w:eastAsia="PMingLiU"/>
          <w:sz w:val="22"/>
          <w:szCs w:val="22"/>
        </w:rPr>
        <w:t>.</w:t>
      </w:r>
      <w:r w:rsidR="00E523CE" w:rsidRPr="001F7008">
        <w:rPr>
          <w:rFonts w:eastAsia="PMingLiU"/>
          <w:sz w:val="22"/>
          <w:szCs w:val="22"/>
        </w:rPr>
        <w:t xml:space="preserve"> </w:t>
      </w:r>
      <w:r w:rsidR="00511F20" w:rsidRPr="001F7008">
        <w:rPr>
          <w:rFonts w:eastAsia="PMingLiU"/>
          <w:sz w:val="22"/>
          <w:szCs w:val="22"/>
        </w:rPr>
        <w:t xml:space="preserve"> Omit reference to International Fire Code and substitute NFPA Life Safety Code </w:t>
      </w:r>
      <w:r w:rsidR="007F4CBD" w:rsidRPr="001F7008">
        <w:rPr>
          <w:rFonts w:eastAsia="PMingLiU"/>
          <w:sz w:val="22"/>
          <w:szCs w:val="22"/>
        </w:rPr>
        <w:t>201</w:t>
      </w:r>
      <w:r w:rsidR="0065757B" w:rsidRPr="001F7008">
        <w:rPr>
          <w:rFonts w:eastAsia="PMingLiU"/>
          <w:sz w:val="22"/>
          <w:szCs w:val="22"/>
        </w:rPr>
        <w:t>8</w:t>
      </w:r>
      <w:r w:rsidR="00511F20" w:rsidRPr="001F7008">
        <w:rPr>
          <w:rFonts w:eastAsia="PMingLiU"/>
          <w:sz w:val="22"/>
          <w:szCs w:val="22"/>
        </w:rPr>
        <w:t xml:space="preserve"> </w:t>
      </w:r>
      <w:r w:rsidR="00DE064E" w:rsidRPr="001F7008">
        <w:rPr>
          <w:rFonts w:eastAsia="PMingLiU"/>
          <w:sz w:val="22"/>
          <w:szCs w:val="22"/>
        </w:rPr>
        <w:t>e</w:t>
      </w:r>
      <w:r w:rsidR="00511F20" w:rsidRPr="001F7008">
        <w:rPr>
          <w:rFonts w:eastAsia="PMingLiU"/>
          <w:sz w:val="22"/>
          <w:szCs w:val="22"/>
        </w:rPr>
        <w:t>dition.</w:t>
      </w:r>
    </w:p>
    <w:p w14:paraId="49F9257D"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2555B0D" w14:textId="1B090617" w:rsidR="00510FA2"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sidR="007E63D8">
        <w:rPr>
          <w:rFonts w:eastAsia="PMingLiU"/>
          <w:sz w:val="22"/>
          <w:szCs w:val="22"/>
        </w:rPr>
        <w:tab/>
      </w:r>
      <w:r w:rsidR="00511F20" w:rsidRPr="001F7008">
        <w:rPr>
          <w:rFonts w:eastAsia="PMingLiU"/>
          <w:sz w:val="22"/>
          <w:szCs w:val="22"/>
        </w:rPr>
        <w:t>4.1.</w:t>
      </w:r>
      <w:r w:rsidR="007E63D8">
        <w:rPr>
          <w:rFonts w:eastAsia="PMingLiU"/>
          <w:sz w:val="22"/>
          <w:szCs w:val="22"/>
        </w:rPr>
        <w:t>m</w:t>
      </w:r>
      <w:r w:rsidR="00511F20" w:rsidRPr="001F7008">
        <w:rPr>
          <w:rFonts w:eastAsia="PMingLiU"/>
          <w:sz w:val="22"/>
          <w:szCs w:val="22"/>
        </w:rPr>
        <w:t xml:space="preserve">. </w:t>
      </w:r>
      <w:r w:rsidR="00E523CE" w:rsidRPr="001F7008">
        <w:rPr>
          <w:rFonts w:eastAsia="PMingLiU"/>
          <w:sz w:val="22"/>
          <w:szCs w:val="22"/>
        </w:rPr>
        <w:t xml:space="preserve"> </w:t>
      </w:r>
      <w:r w:rsidR="00511F20" w:rsidRPr="001F7008">
        <w:rPr>
          <w:rFonts w:eastAsia="PMingLiU"/>
          <w:sz w:val="22"/>
          <w:szCs w:val="22"/>
        </w:rPr>
        <w:t xml:space="preserve">The </w:t>
      </w:r>
      <w:r w:rsidR="00E45959" w:rsidRPr="001F7008">
        <w:rPr>
          <w:rFonts w:eastAsia="Calibri"/>
          <w:sz w:val="22"/>
          <w:szCs w:val="22"/>
        </w:rPr>
        <w:t>2020</w:t>
      </w:r>
      <w:r w:rsidR="00E45959" w:rsidRPr="001F7008">
        <w:rPr>
          <w:rFonts w:eastAsia="PMingLiU"/>
          <w:sz w:val="22"/>
          <w:szCs w:val="22"/>
        </w:rPr>
        <w:t xml:space="preserve"> </w:t>
      </w:r>
      <w:r w:rsidR="00511F20" w:rsidRPr="001F7008">
        <w:rPr>
          <w:rFonts w:eastAsia="PMingLiU"/>
          <w:sz w:val="22"/>
          <w:szCs w:val="22"/>
        </w:rPr>
        <w:t>edition of the National Electric</w:t>
      </w:r>
      <w:r w:rsidR="00DF7758" w:rsidRPr="001F7008">
        <w:rPr>
          <w:rFonts w:eastAsia="PMingLiU"/>
          <w:sz w:val="22"/>
          <w:szCs w:val="22"/>
        </w:rPr>
        <w:t>al</w:t>
      </w:r>
      <w:r w:rsidR="00511F20" w:rsidRPr="001F7008">
        <w:rPr>
          <w:rFonts w:eastAsia="PMingLiU"/>
          <w:sz w:val="22"/>
          <w:szCs w:val="22"/>
        </w:rPr>
        <w:t xml:space="preserve"> Code, NFPA 70</w:t>
      </w:r>
      <w:r w:rsidR="00510FA2" w:rsidRPr="001F7008">
        <w:rPr>
          <w:rFonts w:eastAsia="PMingLiU"/>
          <w:sz w:val="22"/>
          <w:szCs w:val="22"/>
        </w:rPr>
        <w:t>, with the following exception:</w:t>
      </w:r>
    </w:p>
    <w:p w14:paraId="30B02CF8" w14:textId="77777777" w:rsidR="00510FA2" w:rsidRPr="001F7008" w:rsidRDefault="00510FA2"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4F22F76" w14:textId="5BEF7ACF" w:rsidR="00870603"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7E63D8">
        <w:rPr>
          <w:rFonts w:eastAsia="PMingLiU"/>
          <w:sz w:val="22"/>
          <w:szCs w:val="22"/>
        </w:rPr>
        <w:tab/>
      </w:r>
      <w:r w:rsidR="00510FA2" w:rsidRPr="001F7008">
        <w:rPr>
          <w:rFonts w:eastAsia="PMingLiU"/>
          <w:sz w:val="22"/>
          <w:szCs w:val="22"/>
        </w:rPr>
        <w:t>4.l.</w:t>
      </w:r>
      <w:r w:rsidR="007E63D8">
        <w:rPr>
          <w:rFonts w:eastAsia="PMingLiU"/>
          <w:sz w:val="22"/>
          <w:szCs w:val="22"/>
        </w:rPr>
        <w:t>m</w:t>
      </w:r>
      <w:r w:rsidR="00510FA2" w:rsidRPr="001F7008">
        <w:rPr>
          <w:rFonts w:eastAsia="PMingLiU"/>
          <w:sz w:val="22"/>
          <w:szCs w:val="22"/>
        </w:rPr>
        <w:t>.1.</w:t>
      </w:r>
      <w:r w:rsidR="007A6382" w:rsidRPr="001F7008">
        <w:rPr>
          <w:rFonts w:eastAsia="PMingLiU"/>
          <w:sz w:val="22"/>
          <w:szCs w:val="22"/>
        </w:rPr>
        <w:t xml:space="preserve">  Section 210.8(F) GFCI Protection shall not be required on all new </w:t>
      </w:r>
      <w:r w:rsidR="00DF7758" w:rsidRPr="001F7008">
        <w:rPr>
          <w:rFonts w:eastAsia="PMingLiU"/>
          <w:sz w:val="22"/>
          <w:szCs w:val="22"/>
        </w:rPr>
        <w:t>mini-split heating/ventilation/air-conditioning (</w:t>
      </w:r>
      <w:r w:rsidR="007A6382" w:rsidRPr="001F7008">
        <w:rPr>
          <w:rFonts w:eastAsia="PMingLiU"/>
          <w:sz w:val="22"/>
          <w:szCs w:val="22"/>
        </w:rPr>
        <w:t>HVAC</w:t>
      </w:r>
      <w:r w:rsidR="00DF7758" w:rsidRPr="001F7008">
        <w:rPr>
          <w:rFonts w:eastAsia="PMingLiU"/>
          <w:sz w:val="22"/>
          <w:szCs w:val="22"/>
        </w:rPr>
        <w:t>) equipment and other HVAC units employing power conversion equipment as a means to control compressor speed</w:t>
      </w:r>
      <w:r w:rsidR="007A6382" w:rsidRPr="001F7008">
        <w:rPr>
          <w:rFonts w:eastAsia="PMingLiU"/>
          <w:sz w:val="22"/>
          <w:szCs w:val="22"/>
        </w:rPr>
        <w:t xml:space="preserve"> systems including but not limited to mini-split and A/C units</w:t>
      </w:r>
      <w:r w:rsidR="0088117A" w:rsidRPr="001F7008">
        <w:rPr>
          <w:rFonts w:eastAsia="PMingLiU"/>
          <w:sz w:val="22"/>
          <w:szCs w:val="22"/>
        </w:rPr>
        <w:t xml:space="preserve"> until January 1, 2023</w:t>
      </w:r>
      <w:r w:rsidR="007A6382" w:rsidRPr="001F7008">
        <w:rPr>
          <w:rFonts w:eastAsia="PMingLiU"/>
          <w:sz w:val="22"/>
          <w:szCs w:val="22"/>
        </w:rPr>
        <w:t>.</w:t>
      </w:r>
    </w:p>
    <w:p w14:paraId="6E549465" w14:textId="77777777" w:rsidR="00870603" w:rsidRPr="001F7008" w:rsidRDefault="00870603"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620105D" w14:textId="74AD081F"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Pr>
          <w:rFonts w:eastAsia="PMingLiU"/>
          <w:sz w:val="22"/>
          <w:szCs w:val="22"/>
        </w:rPr>
        <w:tab/>
      </w:r>
      <w:r w:rsidR="007E63D8">
        <w:rPr>
          <w:rFonts w:eastAsia="PMingLiU"/>
          <w:sz w:val="22"/>
          <w:szCs w:val="22"/>
        </w:rPr>
        <w:tab/>
      </w:r>
      <w:r w:rsidR="00870603" w:rsidRPr="001F7008">
        <w:rPr>
          <w:rFonts w:eastAsia="PMingLiU"/>
          <w:sz w:val="22"/>
          <w:szCs w:val="22"/>
        </w:rPr>
        <w:t>4.1.</w:t>
      </w:r>
      <w:r w:rsidR="007E63D8">
        <w:rPr>
          <w:rFonts w:eastAsia="PMingLiU"/>
          <w:sz w:val="22"/>
          <w:szCs w:val="22"/>
        </w:rPr>
        <w:t>m</w:t>
      </w:r>
      <w:r w:rsidR="00870603" w:rsidRPr="001F7008">
        <w:rPr>
          <w:rFonts w:eastAsia="PMingLiU"/>
          <w:sz w:val="22"/>
          <w:szCs w:val="22"/>
        </w:rPr>
        <w:t>.</w:t>
      </w:r>
      <w:r w:rsidR="007A6382" w:rsidRPr="001F7008">
        <w:rPr>
          <w:rFonts w:eastAsia="PMingLiU"/>
          <w:sz w:val="22"/>
          <w:szCs w:val="22"/>
        </w:rPr>
        <w:t>2.</w:t>
      </w:r>
      <w:r w:rsidR="00870603" w:rsidRPr="001F7008">
        <w:rPr>
          <w:rFonts w:eastAsia="PMingLiU"/>
          <w:sz w:val="22"/>
          <w:szCs w:val="22"/>
        </w:rPr>
        <w:t xml:space="preserve">  For renovations in one- and two-family homes where no new square footage is involved, arc-fault circuit interrupter (AFCI) protection shall not be required, except for in bedrooms.  For renovation in one- and two-family homes where square footage is added but no electrical service is installed, arc-fault circuit interrupter (AFCI) protection shall not be required.</w:t>
      </w:r>
    </w:p>
    <w:p w14:paraId="46191F82" w14:textId="4CDA91FF" w:rsidR="00510FA2" w:rsidRPr="001F7008" w:rsidRDefault="00510FA2"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A788C70" w14:textId="59215327" w:rsidR="00B55273"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sidR="007E63D8">
        <w:rPr>
          <w:rFonts w:eastAsia="PMingLiU"/>
          <w:sz w:val="22"/>
          <w:szCs w:val="22"/>
        </w:rPr>
        <w:tab/>
      </w:r>
      <w:r w:rsidR="00B55273" w:rsidRPr="001F7008">
        <w:rPr>
          <w:rFonts w:eastAsia="PMingLiU"/>
          <w:sz w:val="22"/>
          <w:szCs w:val="22"/>
        </w:rPr>
        <w:t>4.1.</w:t>
      </w:r>
      <w:r w:rsidR="007E63D8">
        <w:rPr>
          <w:rFonts w:eastAsia="PMingLiU"/>
          <w:sz w:val="22"/>
          <w:szCs w:val="22"/>
        </w:rPr>
        <w:t>n</w:t>
      </w:r>
      <w:r w:rsidR="007A6382" w:rsidRPr="001F7008">
        <w:rPr>
          <w:rFonts w:eastAsia="PMingLiU"/>
          <w:sz w:val="22"/>
          <w:szCs w:val="22"/>
        </w:rPr>
        <w:t xml:space="preserve">. </w:t>
      </w:r>
      <w:r w:rsidR="00E523CE" w:rsidRPr="001F7008">
        <w:rPr>
          <w:rFonts w:eastAsia="PMingLiU"/>
          <w:sz w:val="22"/>
          <w:szCs w:val="22"/>
        </w:rPr>
        <w:t xml:space="preserve"> </w:t>
      </w:r>
      <w:r w:rsidR="00B55273" w:rsidRPr="001F7008">
        <w:rPr>
          <w:rFonts w:eastAsia="PMingLiU"/>
          <w:sz w:val="22"/>
          <w:szCs w:val="22"/>
        </w:rPr>
        <w:t xml:space="preserve">The </w:t>
      </w:r>
      <w:r w:rsidR="00E45959" w:rsidRPr="001F7008">
        <w:rPr>
          <w:rFonts w:eastAsia="Calibri"/>
          <w:sz w:val="22"/>
          <w:szCs w:val="22"/>
        </w:rPr>
        <w:t>2018</w:t>
      </w:r>
      <w:r w:rsidR="00E67251" w:rsidRPr="001F7008">
        <w:rPr>
          <w:rFonts w:eastAsia="PMingLiU"/>
          <w:sz w:val="22"/>
          <w:szCs w:val="22"/>
        </w:rPr>
        <w:t xml:space="preserve"> </w:t>
      </w:r>
      <w:r w:rsidR="00B55273" w:rsidRPr="001F7008">
        <w:rPr>
          <w:rFonts w:eastAsia="PMingLiU"/>
          <w:sz w:val="22"/>
          <w:szCs w:val="22"/>
        </w:rPr>
        <w:t>edition of the International Swimming Pool and Spa Code.</w:t>
      </w:r>
    </w:p>
    <w:p w14:paraId="0DB08619" w14:textId="77777777" w:rsidR="009F0246" w:rsidRPr="001F7008" w:rsidRDefault="009F0246" w:rsidP="009F0246">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81525A7" w14:textId="49868C35" w:rsidR="009F0246" w:rsidRPr="001F7008" w:rsidRDefault="00925EF8" w:rsidP="009F0246">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E523CE" w:rsidRPr="001F7008">
        <w:rPr>
          <w:rFonts w:eastAsia="PMingLiU"/>
          <w:sz w:val="22"/>
          <w:szCs w:val="22"/>
        </w:rPr>
        <w:t xml:space="preserve">4.2.  </w:t>
      </w:r>
      <w:r w:rsidR="009F0246" w:rsidRPr="001F7008">
        <w:rPr>
          <w:rFonts w:eastAsia="PMingLiU"/>
          <w:sz w:val="22"/>
          <w:szCs w:val="22"/>
        </w:rPr>
        <w:t xml:space="preserve">Wherever referenced in the several ICC codes adopted </w:t>
      </w:r>
      <w:r w:rsidR="00B80C85" w:rsidRPr="001F7008">
        <w:rPr>
          <w:rFonts w:eastAsia="PMingLiU"/>
          <w:sz w:val="22"/>
          <w:szCs w:val="22"/>
        </w:rPr>
        <w:t>in this section</w:t>
      </w:r>
      <w:r w:rsidR="009F0246" w:rsidRPr="001F7008">
        <w:rPr>
          <w:rFonts w:eastAsia="PMingLiU"/>
          <w:sz w:val="22"/>
          <w:szCs w:val="22"/>
        </w:rPr>
        <w:t xml:space="preserve">, any reference to the International Fire Code should be substituted with the NFPA Life Safety Code </w:t>
      </w:r>
      <w:r w:rsidR="00E45959" w:rsidRPr="001F7008">
        <w:rPr>
          <w:rFonts w:eastAsia="Calibri"/>
          <w:sz w:val="22"/>
          <w:szCs w:val="22"/>
        </w:rPr>
        <w:t>2021</w:t>
      </w:r>
      <w:r w:rsidR="00E45959" w:rsidRPr="001F7008">
        <w:rPr>
          <w:rFonts w:eastAsia="PMingLiU"/>
          <w:sz w:val="22"/>
          <w:szCs w:val="22"/>
        </w:rPr>
        <w:t xml:space="preserve"> </w:t>
      </w:r>
      <w:r w:rsidR="009F0246" w:rsidRPr="001F7008">
        <w:rPr>
          <w:rFonts w:eastAsia="PMingLiU"/>
          <w:sz w:val="22"/>
          <w:szCs w:val="22"/>
        </w:rPr>
        <w:t>edition.</w:t>
      </w:r>
    </w:p>
    <w:p w14:paraId="6E5256D3" w14:textId="77777777" w:rsidR="009F0246" w:rsidRPr="001F7008" w:rsidRDefault="009F0246" w:rsidP="009F0246">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7D9D0B7" w14:textId="77777777" w:rsidR="009F0246" w:rsidRPr="001F7008" w:rsidRDefault="00E523CE" w:rsidP="009F0246">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1F7008">
        <w:rPr>
          <w:rFonts w:eastAsia="PMingLiU"/>
          <w:sz w:val="22"/>
          <w:szCs w:val="22"/>
        </w:rPr>
        <w:tab/>
        <w:t xml:space="preserve">4.3.  </w:t>
      </w:r>
      <w:r w:rsidR="009F0246" w:rsidRPr="001F7008">
        <w:rPr>
          <w:rFonts w:eastAsia="PMingLiU"/>
          <w:sz w:val="22"/>
          <w:szCs w:val="22"/>
        </w:rPr>
        <w:t>Whenever a certificate of occupancy is required of a commercial structure greater in size than 7,600 feet, the project documents shall be designed by an Architect licensed by the WV Board of Architects, or a Professional Engineer licensed by the WV State Board of Registration for Professional Engineers.</w:t>
      </w:r>
    </w:p>
    <w:p w14:paraId="2A28E442"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DC98167"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1F7008">
        <w:rPr>
          <w:rFonts w:eastAsia="PMingLiU"/>
          <w:b/>
          <w:bCs/>
          <w:sz w:val="22"/>
          <w:szCs w:val="22"/>
        </w:rPr>
        <w:t>§87-4-5</w:t>
      </w:r>
      <w:r w:rsidR="00E523CE" w:rsidRPr="001F7008">
        <w:rPr>
          <w:rFonts w:eastAsia="PMingLiU"/>
          <w:b/>
          <w:bCs/>
          <w:sz w:val="22"/>
          <w:szCs w:val="22"/>
        </w:rPr>
        <w:t>.</w:t>
      </w:r>
      <w:r w:rsidRPr="001F7008">
        <w:rPr>
          <w:rFonts w:eastAsia="PMingLiU"/>
          <w:b/>
          <w:bCs/>
          <w:sz w:val="22"/>
          <w:szCs w:val="22"/>
        </w:rPr>
        <w:t xml:space="preserve"> </w:t>
      </w:r>
      <w:r w:rsidR="00E523CE" w:rsidRPr="001F7008">
        <w:rPr>
          <w:rFonts w:eastAsia="PMingLiU"/>
          <w:b/>
          <w:bCs/>
          <w:sz w:val="22"/>
          <w:szCs w:val="22"/>
        </w:rPr>
        <w:t xml:space="preserve"> </w:t>
      </w:r>
      <w:r w:rsidRPr="001F7008">
        <w:rPr>
          <w:rFonts w:eastAsia="PMingLiU"/>
          <w:b/>
          <w:bCs/>
          <w:sz w:val="22"/>
          <w:szCs w:val="22"/>
        </w:rPr>
        <w:t>Fire Protection of Floors in Residential Buildings</w:t>
      </w:r>
    </w:p>
    <w:p w14:paraId="36764CEC"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371C0FD" w14:textId="21A0C6E9"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1F7008">
        <w:rPr>
          <w:rFonts w:eastAsia="PMingLiU"/>
          <w:sz w:val="22"/>
          <w:szCs w:val="22"/>
        </w:rPr>
        <w:t>5.1</w:t>
      </w:r>
      <w:r w:rsidR="00184FBF" w:rsidRPr="001F7008">
        <w:rPr>
          <w:rFonts w:eastAsia="PMingLiU"/>
          <w:sz w:val="22"/>
          <w:szCs w:val="22"/>
        </w:rPr>
        <w:t>.</w:t>
      </w:r>
      <w:r w:rsidRPr="001F7008">
        <w:rPr>
          <w:rFonts w:eastAsia="PMingLiU"/>
          <w:sz w:val="22"/>
          <w:szCs w:val="22"/>
        </w:rPr>
        <w:t xml:space="preserve">  New One and Two Family Dwellings over one level in height, New One and Two Family Dwellings containing a basement, and New One and Two Family Dwellings containing a crawl space containing a fuel burning appliance below the first floor, shall provide one of the following methods for fire protection of floors: (1) A 1/2 inch (12.7 mm) gypsum wallboard membrane, 5/8 inch (16 mm) wood structural panel membrane, or equivalent on the underside of the floor framing member; (2) Wood floor assemblies using dimension lumber or structural composite lumber equal or greater than 2 inch by 10 inch </w:t>
      </w:r>
      <w:r w:rsidRPr="001F7008">
        <w:rPr>
          <w:rFonts w:eastAsia="PMingLiU"/>
          <w:sz w:val="22"/>
          <w:szCs w:val="22"/>
        </w:rPr>
        <w:lastRenderedPageBreak/>
        <w:t xml:space="preserve">(50.8 mm by 254 mm) nominal dimension, or other approved floor assemblies demonstrating equivalent fire performance; or (3)  An Automatic Fire Sprinkler System as set forth in section </w:t>
      </w:r>
      <w:r w:rsidR="00042A09" w:rsidRPr="001F7008">
        <w:rPr>
          <w:rFonts w:eastAsia="PMingLiU"/>
          <w:sz w:val="22"/>
          <w:szCs w:val="22"/>
        </w:rPr>
        <w:t xml:space="preserve">R313.1 or </w:t>
      </w:r>
      <w:r w:rsidRPr="001F7008">
        <w:rPr>
          <w:rFonts w:eastAsia="PMingLiU"/>
          <w:sz w:val="22"/>
          <w:szCs w:val="22"/>
        </w:rPr>
        <w:t xml:space="preserve">R313.2 of the </w:t>
      </w:r>
      <w:r w:rsidR="007F4CBD" w:rsidRPr="001F7008">
        <w:rPr>
          <w:rFonts w:eastAsia="PMingLiU"/>
          <w:sz w:val="22"/>
          <w:szCs w:val="22"/>
        </w:rPr>
        <w:t xml:space="preserve">2015 </w:t>
      </w:r>
      <w:r w:rsidRPr="001F7008">
        <w:rPr>
          <w:rFonts w:eastAsia="PMingLiU"/>
          <w:sz w:val="22"/>
          <w:szCs w:val="22"/>
        </w:rPr>
        <w:t xml:space="preserve">edition of the International Residential Code for One and Two Family Dwellings: </w:t>
      </w:r>
      <w:r w:rsidRPr="001F7008">
        <w:rPr>
          <w:rFonts w:eastAsia="PMingLiU"/>
          <w:i/>
          <w:iCs/>
          <w:sz w:val="22"/>
          <w:szCs w:val="22"/>
        </w:rPr>
        <w:t>Provided</w:t>
      </w:r>
      <w:r w:rsidRPr="001F7008">
        <w:rPr>
          <w:rFonts w:eastAsia="PMingLiU"/>
          <w:sz w:val="22"/>
          <w:szCs w:val="22"/>
        </w:rPr>
        <w:t xml:space="preserve">, That floor assemblies located directly over a space protected by an automatic sprinkler system as set forth in section </w:t>
      </w:r>
      <w:r w:rsidR="00042A09" w:rsidRPr="001F7008">
        <w:rPr>
          <w:rFonts w:eastAsia="PMingLiU"/>
          <w:sz w:val="22"/>
          <w:szCs w:val="22"/>
        </w:rPr>
        <w:t xml:space="preserve">R313.1 or </w:t>
      </w:r>
      <w:r w:rsidRPr="001F7008">
        <w:rPr>
          <w:rFonts w:eastAsia="PMingLiU"/>
          <w:sz w:val="22"/>
          <w:szCs w:val="22"/>
        </w:rPr>
        <w:t xml:space="preserve">R313.2 of the </w:t>
      </w:r>
      <w:r w:rsidR="007F4CBD" w:rsidRPr="001F7008">
        <w:rPr>
          <w:rFonts w:eastAsia="PMingLiU"/>
          <w:sz w:val="22"/>
          <w:szCs w:val="22"/>
        </w:rPr>
        <w:t xml:space="preserve">2015 </w:t>
      </w:r>
      <w:r w:rsidRPr="001F7008">
        <w:rPr>
          <w:rFonts w:eastAsia="PMingLiU"/>
          <w:sz w:val="22"/>
          <w:szCs w:val="22"/>
        </w:rPr>
        <w:t>edition of the International Residential Code for One and Two Family Dwellings are exempt from this requirement.</w:t>
      </w:r>
    </w:p>
    <w:p w14:paraId="6E05A025" w14:textId="77777777" w:rsidR="00042A09" w:rsidRPr="001F7008" w:rsidRDefault="00042A09"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8DD9D8E" w14:textId="7C019479" w:rsidR="00042A09" w:rsidRPr="001F7008" w:rsidRDefault="00042A0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1F7008">
        <w:rPr>
          <w:rFonts w:eastAsia="PMingLiU"/>
          <w:sz w:val="22"/>
          <w:szCs w:val="22"/>
        </w:rPr>
        <w:t>5.2.  Townhouses meeting the Fire</w:t>
      </w:r>
      <w:r w:rsidR="00F60E74" w:rsidRPr="001F7008">
        <w:rPr>
          <w:rFonts w:eastAsia="PMingLiU"/>
          <w:sz w:val="22"/>
          <w:szCs w:val="22"/>
        </w:rPr>
        <w:t>-</w:t>
      </w:r>
      <w:r w:rsidRPr="001F7008">
        <w:rPr>
          <w:rFonts w:eastAsia="PMingLiU"/>
          <w:sz w:val="22"/>
          <w:szCs w:val="22"/>
        </w:rPr>
        <w:t>Resistant Construction Standard R302.2 will be treated as New One</w:t>
      </w:r>
      <w:r w:rsidR="00870603" w:rsidRPr="001F7008">
        <w:rPr>
          <w:rFonts w:eastAsia="PMingLiU"/>
          <w:sz w:val="22"/>
          <w:szCs w:val="22"/>
        </w:rPr>
        <w:t>-</w:t>
      </w:r>
      <w:r w:rsidRPr="001F7008">
        <w:rPr>
          <w:rFonts w:eastAsia="PMingLiU"/>
          <w:sz w:val="22"/>
          <w:szCs w:val="22"/>
        </w:rPr>
        <w:t xml:space="preserve"> and Two</w:t>
      </w:r>
      <w:r w:rsidR="00870603" w:rsidRPr="001F7008">
        <w:rPr>
          <w:rFonts w:eastAsia="PMingLiU"/>
          <w:sz w:val="22"/>
          <w:szCs w:val="22"/>
        </w:rPr>
        <w:t>-</w:t>
      </w:r>
      <w:r w:rsidRPr="001F7008">
        <w:rPr>
          <w:rFonts w:eastAsia="PMingLiU"/>
          <w:sz w:val="22"/>
          <w:szCs w:val="22"/>
        </w:rPr>
        <w:t>Family Dwellings and shall comply with Section 5.1 above.</w:t>
      </w:r>
    </w:p>
    <w:p w14:paraId="18F24301" w14:textId="77777777" w:rsidR="00511F20" w:rsidRPr="001F7008" w:rsidRDefault="00511F20"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1013EDA"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1F7008">
        <w:rPr>
          <w:rFonts w:eastAsia="PMingLiU"/>
          <w:b/>
          <w:bCs/>
          <w:sz w:val="22"/>
          <w:szCs w:val="22"/>
        </w:rPr>
        <w:t>§87-4-6.  Exceptions.</w:t>
      </w:r>
    </w:p>
    <w:p w14:paraId="47D50198"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1AAFA3C" w14:textId="77777777" w:rsidR="00511F20" w:rsidRPr="001F7008" w:rsidRDefault="00E523C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1F7008">
        <w:rPr>
          <w:rFonts w:eastAsia="PMingLiU"/>
          <w:sz w:val="22"/>
          <w:szCs w:val="22"/>
        </w:rPr>
        <w:t xml:space="preserve">6.1.  </w:t>
      </w:r>
      <w:r w:rsidR="00511F20" w:rsidRPr="001F7008">
        <w:rPr>
          <w:rFonts w:eastAsia="PMingLiU"/>
          <w:sz w:val="22"/>
          <w:szCs w:val="22"/>
        </w:rPr>
        <w:t>The following structures are not subject to inspection by local jurisdictions:</w:t>
      </w:r>
    </w:p>
    <w:p w14:paraId="274EBDB8"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2D1013B" w14:textId="66EE5BF3" w:rsidR="00511F20" w:rsidRPr="001F7008" w:rsidRDefault="00925EF8" w:rsidP="00925EF8">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sidR="006B3728" w:rsidRPr="001F7008">
        <w:rPr>
          <w:rFonts w:eastAsia="PMingLiU"/>
          <w:sz w:val="22"/>
          <w:szCs w:val="22"/>
        </w:rPr>
        <w:t>6.1.a.</w:t>
      </w:r>
      <w:r w:rsidR="00E523CE" w:rsidRPr="001F7008">
        <w:rPr>
          <w:rFonts w:eastAsia="PMingLiU"/>
          <w:sz w:val="22"/>
          <w:szCs w:val="22"/>
        </w:rPr>
        <w:t xml:space="preserve">  </w:t>
      </w:r>
      <w:r w:rsidR="00511F20" w:rsidRPr="001F7008">
        <w:rPr>
          <w:rFonts w:eastAsia="PMingLiU"/>
          <w:sz w:val="22"/>
          <w:szCs w:val="22"/>
        </w:rPr>
        <w:t>Group U utility structures and storage sheds c</w:t>
      </w:r>
      <w:r w:rsidR="00B55273" w:rsidRPr="001F7008">
        <w:rPr>
          <w:rFonts w:eastAsia="PMingLiU"/>
          <w:sz w:val="22"/>
          <w:szCs w:val="22"/>
        </w:rPr>
        <w:t>omprising an area not more than</w:t>
      </w:r>
      <w:r w:rsidR="00511F20" w:rsidRPr="001F7008">
        <w:rPr>
          <w:rFonts w:eastAsia="PMingLiU"/>
          <w:sz w:val="22"/>
          <w:szCs w:val="22"/>
        </w:rPr>
        <w:t xml:space="preserve"> 200 sq. ft. which have no plumbing or electrical connections and are used only for residential storage purposes.  (Examples include sheds that are for the residential storage of lawnmowers, tools, bicycles or furniture.)  Not included are those utility structures and storage sheds which have plumbing or electrical connections are a non-residential use or for the storage of explosives or other hazardous or explosive materials.</w:t>
      </w:r>
    </w:p>
    <w:p w14:paraId="7728EF8D"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87ADA1F"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1F7008">
        <w:rPr>
          <w:rFonts w:eastAsia="PMingLiU"/>
          <w:b/>
          <w:bCs/>
          <w:sz w:val="22"/>
          <w:szCs w:val="22"/>
        </w:rPr>
        <w:t>§87-4-7.  Adoption by Local Jurisdiction.</w:t>
      </w:r>
    </w:p>
    <w:p w14:paraId="1C0ED8AA"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09ABFEA" w14:textId="487A2C6D" w:rsidR="00511F20" w:rsidRPr="001F7008" w:rsidRDefault="001E3BE0" w:rsidP="001E3BE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1F7008">
        <w:rPr>
          <w:rFonts w:eastAsia="PMingLiU"/>
          <w:sz w:val="22"/>
          <w:szCs w:val="22"/>
        </w:rPr>
        <w:t>7.1.  Each local jurisdiction adopting the State Building Code shall notify the State Fire Commission in writing.  The local jurisdiction shall send a copy of the ordinance or order to the State Fire Marshal, West Virginia State Fire Commission, 1207 Quarrier Street, 2nd floor, Charleston, West Virginia 25301, within thirty (30) days of adoption.</w:t>
      </w:r>
    </w:p>
    <w:p w14:paraId="4BC1126E"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8ECD60F" w14:textId="120728D1" w:rsidR="00511F20" w:rsidRPr="001F7008" w:rsidRDefault="001E3BE0" w:rsidP="001E3BE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1F7008">
        <w:rPr>
          <w:rFonts w:eastAsia="PMingLiU"/>
          <w:sz w:val="22"/>
          <w:szCs w:val="22"/>
        </w:rPr>
        <w:t>7.2.  Each local jurisdiction which adopts the State Building Code is responsible for the enforcement of the building code as provided in West Virginia Code 7-1-3n and 8-12-13.</w:t>
      </w:r>
      <w:r w:rsidR="007F4CBD" w:rsidRPr="001F7008">
        <w:rPr>
          <w:rFonts w:eastAsia="PMingLiU"/>
          <w:sz w:val="22"/>
          <w:szCs w:val="22"/>
        </w:rPr>
        <w:t xml:space="preserve"> </w:t>
      </w:r>
    </w:p>
    <w:p w14:paraId="40DCE96C"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5F3A441" w14:textId="37B59DE3" w:rsidR="00511F20" w:rsidRPr="001F7008" w:rsidRDefault="001E3BE0" w:rsidP="001E3BE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1F7008">
        <w:rPr>
          <w:rFonts w:eastAsia="PMingLiU"/>
          <w:sz w:val="22"/>
          <w:szCs w:val="22"/>
        </w:rPr>
        <w:t>7.3.  Throughout the national codes, adopted in subsection 4.1 of this rule, there are discretionary provisions or amendments which require further action by the adopting local jurisdiction in order to adapt these codes to various local conditions.  The appendices are not a part of the code and must also be adopted by the local jurisdiction to be enforceable. It is therefore the intent of this rule to further authorize each local jurisdiction to further complete, by order or ordinance, those respective areas which are indicated to be completed by the adopting “jurisdiction” and any of the appendices the local jurisdiction wishes to adopt.</w:t>
      </w:r>
    </w:p>
    <w:p w14:paraId="1EF15185"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AD11131" w14:textId="4D76DDA3" w:rsidR="00511F20" w:rsidRPr="001F7008" w:rsidRDefault="001E3BE0" w:rsidP="001E3BE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1F7008">
        <w:rPr>
          <w:rFonts w:eastAsia="PMingLiU"/>
          <w:sz w:val="22"/>
          <w:szCs w:val="22"/>
        </w:rPr>
        <w:t>7.4.  Within the penalty sections of each of the national codes, adopted in Section 4.1 of this rule, there is a penalty for imprisonment.  The provision of imprisonment for any violation of this rule is optional with each adopting local jurisdiction.</w:t>
      </w:r>
    </w:p>
    <w:p w14:paraId="318D4F48"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52745C4" w14:textId="64219DB0" w:rsidR="00511F20" w:rsidRPr="001F7008" w:rsidRDefault="001E3BE0" w:rsidP="001E3BE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1F7008">
        <w:rPr>
          <w:rFonts w:eastAsia="PMingLiU"/>
          <w:sz w:val="22"/>
          <w:szCs w:val="22"/>
        </w:rPr>
        <w:t>7.5.  Each of the national codes adopted in subsection 4.1 of this rule provides for a separate appeals board.  However, the intent and requirements for an appeal board may be met with the creation by the local jurisdiction of a single appeals board for the entire “State Building Code.”</w:t>
      </w:r>
    </w:p>
    <w:p w14:paraId="1EAC240E" w14:textId="77777777" w:rsidR="009F0246" w:rsidRPr="001F7008" w:rsidRDefault="009F0246" w:rsidP="001E3BE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CEFFB3C" w14:textId="78AB6338" w:rsidR="009F0246" w:rsidRPr="001F7008" w:rsidRDefault="001E3BE0" w:rsidP="001E3BE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9F0246" w:rsidRPr="001F7008">
        <w:rPr>
          <w:rFonts w:eastAsia="PMingLiU"/>
          <w:sz w:val="22"/>
          <w:szCs w:val="22"/>
        </w:rPr>
        <w:t>7.6.  Each local jurisdiction adopting the State Building Code shall comply with the requirements set forth in Title 87, Series 7 “Standards for the Certification and Continuing Education of Municipal, County, and Public</w:t>
      </w:r>
      <w:r w:rsidR="00F60E74" w:rsidRPr="001F7008">
        <w:rPr>
          <w:rFonts w:eastAsia="PMingLiU"/>
          <w:sz w:val="22"/>
          <w:szCs w:val="22"/>
        </w:rPr>
        <w:t>-</w:t>
      </w:r>
      <w:r w:rsidR="009F0246" w:rsidRPr="001F7008">
        <w:rPr>
          <w:rFonts w:eastAsia="PMingLiU"/>
          <w:sz w:val="22"/>
          <w:szCs w:val="22"/>
        </w:rPr>
        <w:t>Sector Building Code Officials, Building Code Inspectors and Plans Examiners.”</w:t>
      </w:r>
    </w:p>
    <w:p w14:paraId="2D8617F2" w14:textId="77777777" w:rsidR="009F0246" w:rsidRPr="001F7008" w:rsidRDefault="009F0246" w:rsidP="001E3BE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9602D4C" w14:textId="620A45F7" w:rsidR="009F0246" w:rsidRPr="001F7008" w:rsidRDefault="001E3BE0" w:rsidP="001E3BE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sz w:val="22"/>
          <w:szCs w:val="22"/>
        </w:rPr>
      </w:pPr>
      <w:r>
        <w:rPr>
          <w:sz w:val="22"/>
          <w:szCs w:val="22"/>
        </w:rPr>
        <w:tab/>
      </w:r>
      <w:r w:rsidR="006A0B21" w:rsidRPr="001F7008">
        <w:rPr>
          <w:sz w:val="22"/>
          <w:szCs w:val="22"/>
        </w:rPr>
        <w:t>7.</w:t>
      </w:r>
      <w:r w:rsidR="00870603" w:rsidRPr="001F7008">
        <w:rPr>
          <w:sz w:val="22"/>
          <w:szCs w:val="22"/>
        </w:rPr>
        <w:t>7</w:t>
      </w:r>
      <w:r w:rsidR="006A0B21" w:rsidRPr="001F7008">
        <w:rPr>
          <w:sz w:val="22"/>
          <w:szCs w:val="22"/>
        </w:rPr>
        <w:t>.</w:t>
      </w:r>
      <w:r w:rsidR="00E523CE" w:rsidRPr="001F7008">
        <w:rPr>
          <w:sz w:val="22"/>
          <w:szCs w:val="22"/>
        </w:rPr>
        <w:t xml:space="preserve">  </w:t>
      </w:r>
      <w:r w:rsidR="006A0B21" w:rsidRPr="001F7008">
        <w:rPr>
          <w:sz w:val="22"/>
          <w:szCs w:val="22"/>
        </w:rPr>
        <w:t xml:space="preserve">All questions of interpretation and enforcement of the State Building Code are delegated to the </w:t>
      </w:r>
      <w:r w:rsidR="006A0B21" w:rsidRPr="001F7008">
        <w:rPr>
          <w:sz w:val="22"/>
          <w:szCs w:val="22"/>
        </w:rPr>
        <w:lastRenderedPageBreak/>
        <w:t>local jurisdiction unless expressly provided by State Code, by this Rule, or by the incorporated codes and standards referenced in this Rule.</w:t>
      </w:r>
    </w:p>
    <w:p w14:paraId="69B681D7" w14:textId="77777777" w:rsidR="009F0246" w:rsidRPr="001F7008" w:rsidRDefault="009F0246" w:rsidP="009F024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rPr>
          <w:sz w:val="22"/>
          <w:szCs w:val="22"/>
        </w:rPr>
      </w:pPr>
    </w:p>
    <w:p w14:paraId="19A00F04"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1F7008">
        <w:rPr>
          <w:rFonts w:eastAsia="PMingLiU"/>
          <w:b/>
          <w:bCs/>
          <w:sz w:val="22"/>
          <w:szCs w:val="22"/>
        </w:rPr>
        <w:t>§87-4-8.  Existing Building Codes.</w:t>
      </w:r>
    </w:p>
    <w:p w14:paraId="2C6CD43C" w14:textId="77777777" w:rsidR="00511F20" w:rsidRPr="001F7008" w:rsidRDefault="00511F2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616DC15" w14:textId="3F2B00DA" w:rsidR="00511F20" w:rsidRPr="001F7008" w:rsidRDefault="001E3BE0" w:rsidP="001E3BE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sidR="00511F20" w:rsidRPr="001F7008">
        <w:rPr>
          <w:rFonts w:eastAsia="PMingLiU"/>
          <w:sz w:val="22"/>
          <w:szCs w:val="22"/>
        </w:rPr>
        <w:t>8.1.  All building codes previously adopted by local jurisdictions are null and void.</w:t>
      </w:r>
    </w:p>
    <w:p w14:paraId="309D90AA" w14:textId="27C3A94B" w:rsidR="00497999" w:rsidRPr="001F7008" w:rsidRDefault="0049799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p>
    <w:p w14:paraId="55C86A65" w14:textId="77777777" w:rsidR="001E3BE0" w:rsidRDefault="00497999" w:rsidP="0049799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b/>
          <w:bCs/>
          <w:sz w:val="22"/>
          <w:szCs w:val="22"/>
        </w:rPr>
      </w:pPr>
      <w:r w:rsidRPr="001F7008">
        <w:rPr>
          <w:rFonts w:eastAsia="PMingLiU"/>
          <w:b/>
          <w:bCs/>
          <w:sz w:val="22"/>
          <w:szCs w:val="22"/>
        </w:rPr>
        <w:t>§87-4-9.</w:t>
      </w:r>
      <w:r w:rsidR="003D1A50">
        <w:rPr>
          <w:rFonts w:eastAsia="PMingLiU"/>
          <w:b/>
          <w:bCs/>
          <w:sz w:val="22"/>
          <w:szCs w:val="22"/>
        </w:rPr>
        <w:t xml:space="preserve"> </w:t>
      </w:r>
      <w:r w:rsidRPr="001F7008">
        <w:rPr>
          <w:rFonts w:eastAsia="PMingLiU"/>
          <w:b/>
          <w:bCs/>
          <w:sz w:val="22"/>
          <w:szCs w:val="22"/>
        </w:rPr>
        <w:t xml:space="preserve"> Exemption for agricultural purposes.</w:t>
      </w:r>
    </w:p>
    <w:p w14:paraId="010947D3" w14:textId="77777777" w:rsidR="001E3BE0" w:rsidRDefault="001E3BE0" w:rsidP="0049799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b/>
          <w:bCs/>
          <w:sz w:val="22"/>
          <w:szCs w:val="22"/>
        </w:rPr>
      </w:pPr>
    </w:p>
    <w:p w14:paraId="678D7A75" w14:textId="77777777" w:rsidR="001E3BE0" w:rsidRDefault="001E3BE0" w:rsidP="0049799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sz w:val="22"/>
          <w:szCs w:val="22"/>
        </w:rPr>
      </w:pPr>
      <w:r>
        <w:rPr>
          <w:rFonts w:eastAsia="PMingLiU"/>
          <w:b/>
          <w:bCs/>
          <w:sz w:val="22"/>
          <w:szCs w:val="22"/>
        </w:rPr>
        <w:tab/>
      </w:r>
      <w:r w:rsidR="00497999" w:rsidRPr="001F7008">
        <w:rPr>
          <w:rFonts w:eastAsia="PMingLiU"/>
          <w:sz w:val="22"/>
          <w:szCs w:val="22"/>
        </w:rPr>
        <w:t>9.1.</w:t>
      </w:r>
      <w:r w:rsidR="003D1A50">
        <w:rPr>
          <w:rFonts w:eastAsia="PMingLiU"/>
          <w:sz w:val="22"/>
          <w:szCs w:val="22"/>
        </w:rPr>
        <w:t xml:space="preserve"> </w:t>
      </w:r>
      <w:r w:rsidR="00497999" w:rsidRPr="001F7008">
        <w:rPr>
          <w:rFonts w:eastAsia="PMingLiU"/>
          <w:sz w:val="22"/>
          <w:szCs w:val="22"/>
        </w:rPr>
        <w:t xml:space="preserve"> If a property owner or other responsible party claims exemption from the applicable Building Code based on the agricultural purposes exemption identified in </w:t>
      </w:r>
      <w:r w:rsidR="00132FCC" w:rsidRPr="001F7008">
        <w:rPr>
          <w:rFonts w:eastAsia="PMingLiU"/>
          <w:sz w:val="22"/>
          <w:szCs w:val="22"/>
        </w:rPr>
        <w:t>sub</w:t>
      </w:r>
      <w:r w:rsidR="00497999" w:rsidRPr="001F7008">
        <w:rPr>
          <w:rFonts w:eastAsia="PMingLiU"/>
          <w:sz w:val="22"/>
          <w:szCs w:val="22"/>
        </w:rPr>
        <w:t xml:space="preserve">section 1.6 of this rule, </w:t>
      </w:r>
      <w:r w:rsidR="00132FCC" w:rsidRPr="001F7008">
        <w:rPr>
          <w:rFonts w:eastAsia="PMingLiU"/>
          <w:sz w:val="22"/>
          <w:szCs w:val="22"/>
        </w:rPr>
        <w:t xml:space="preserve">he or she shall submit </w:t>
      </w:r>
      <w:r w:rsidR="00497999" w:rsidRPr="001F7008">
        <w:rPr>
          <w:rFonts w:eastAsia="PMingLiU"/>
          <w:sz w:val="22"/>
          <w:szCs w:val="22"/>
        </w:rPr>
        <w:t>the question to the Commissioner of Agriculture for a determination of eligibility.</w:t>
      </w:r>
    </w:p>
    <w:p w14:paraId="42517D8D" w14:textId="77777777" w:rsidR="001E3BE0" w:rsidRDefault="001E3BE0" w:rsidP="0049799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sz w:val="22"/>
          <w:szCs w:val="22"/>
        </w:rPr>
      </w:pPr>
    </w:p>
    <w:p w14:paraId="384E6F30" w14:textId="77777777" w:rsidR="001E3BE0" w:rsidRDefault="001E3BE0" w:rsidP="0049799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sz w:val="22"/>
          <w:szCs w:val="22"/>
        </w:rPr>
      </w:pPr>
      <w:r>
        <w:rPr>
          <w:rFonts w:eastAsia="PMingLiU"/>
          <w:sz w:val="22"/>
          <w:szCs w:val="22"/>
        </w:rPr>
        <w:tab/>
      </w:r>
      <w:r w:rsidR="00497999" w:rsidRPr="001F7008">
        <w:rPr>
          <w:rFonts w:eastAsia="PMingLiU"/>
          <w:sz w:val="22"/>
          <w:szCs w:val="22"/>
        </w:rPr>
        <w:t>9.2.</w:t>
      </w:r>
      <w:r w:rsidR="003D1A50">
        <w:rPr>
          <w:rFonts w:eastAsia="PMingLiU"/>
          <w:sz w:val="22"/>
          <w:szCs w:val="22"/>
        </w:rPr>
        <w:t xml:space="preserve"> </w:t>
      </w:r>
      <w:r w:rsidR="00497999" w:rsidRPr="001F7008">
        <w:rPr>
          <w:rFonts w:eastAsia="PMingLiU"/>
          <w:sz w:val="22"/>
          <w:szCs w:val="22"/>
        </w:rPr>
        <w:t xml:space="preserve"> The property owner or responsible party shall submit to the Commissioner of Agriculture sufficient information to allow the Commissioner to determine the primary use of the property. This information shall include, but is not limited to, </w:t>
      </w:r>
      <w:r w:rsidR="00132FCC" w:rsidRPr="001F7008">
        <w:rPr>
          <w:rFonts w:eastAsia="PMingLiU"/>
          <w:sz w:val="22"/>
          <w:szCs w:val="22"/>
        </w:rPr>
        <w:t xml:space="preserve">the </w:t>
      </w:r>
      <w:r w:rsidR="00497999" w:rsidRPr="001F7008">
        <w:rPr>
          <w:rFonts w:eastAsia="PMingLiU"/>
          <w:sz w:val="22"/>
          <w:szCs w:val="22"/>
        </w:rPr>
        <w:t xml:space="preserve">location of the property and buildings, </w:t>
      </w:r>
      <w:r w:rsidR="00132FCC" w:rsidRPr="001F7008">
        <w:rPr>
          <w:rFonts w:eastAsia="PMingLiU"/>
          <w:sz w:val="22"/>
          <w:szCs w:val="22"/>
        </w:rPr>
        <w:t xml:space="preserve">the </w:t>
      </w:r>
      <w:r w:rsidR="00497999" w:rsidRPr="001F7008">
        <w:rPr>
          <w:rFonts w:eastAsia="PMingLiU"/>
          <w:sz w:val="22"/>
          <w:szCs w:val="22"/>
        </w:rPr>
        <w:t xml:space="preserve">types of agricultural use or uses, </w:t>
      </w:r>
      <w:r w:rsidR="00132FCC" w:rsidRPr="001F7008">
        <w:rPr>
          <w:rFonts w:eastAsia="PMingLiU"/>
          <w:sz w:val="22"/>
          <w:szCs w:val="22"/>
        </w:rPr>
        <w:t xml:space="preserve">the </w:t>
      </w:r>
      <w:r w:rsidR="00497999" w:rsidRPr="001F7008">
        <w:rPr>
          <w:rFonts w:eastAsia="PMingLiU"/>
          <w:sz w:val="22"/>
          <w:szCs w:val="22"/>
        </w:rPr>
        <w:t>percentage or frequency of use, and any other information that the Commissioner requires to make a decision.</w:t>
      </w:r>
    </w:p>
    <w:p w14:paraId="5ACB8CFB" w14:textId="77777777" w:rsidR="001E3BE0" w:rsidRDefault="001E3BE0" w:rsidP="0049799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sz w:val="22"/>
          <w:szCs w:val="22"/>
        </w:rPr>
      </w:pPr>
    </w:p>
    <w:p w14:paraId="311159B6" w14:textId="4DEC5160" w:rsidR="00497999" w:rsidRPr="001F7008" w:rsidRDefault="001E3BE0" w:rsidP="0049799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sz w:val="22"/>
          <w:szCs w:val="22"/>
        </w:rPr>
      </w:pPr>
      <w:r>
        <w:rPr>
          <w:rFonts w:eastAsia="PMingLiU"/>
          <w:sz w:val="22"/>
          <w:szCs w:val="22"/>
        </w:rPr>
        <w:tab/>
      </w:r>
      <w:r w:rsidR="00497999" w:rsidRPr="001F7008">
        <w:rPr>
          <w:rFonts w:eastAsia="PMingLiU"/>
          <w:sz w:val="22"/>
          <w:szCs w:val="22"/>
        </w:rPr>
        <w:t xml:space="preserve">9.3. </w:t>
      </w:r>
      <w:r w:rsidR="003D1A50">
        <w:rPr>
          <w:rFonts w:eastAsia="PMingLiU"/>
          <w:sz w:val="22"/>
          <w:szCs w:val="22"/>
        </w:rPr>
        <w:t xml:space="preserve"> </w:t>
      </w:r>
      <w:r w:rsidR="00132FCC" w:rsidRPr="001F7008">
        <w:rPr>
          <w:rFonts w:eastAsia="PMingLiU"/>
          <w:sz w:val="22"/>
          <w:szCs w:val="22"/>
        </w:rPr>
        <w:t xml:space="preserve">The </w:t>
      </w:r>
      <w:r w:rsidR="00497999" w:rsidRPr="001F7008">
        <w:rPr>
          <w:rFonts w:eastAsia="PMingLiU"/>
          <w:sz w:val="22"/>
          <w:szCs w:val="22"/>
        </w:rPr>
        <w:t>Commissioner of Agriculture shall provide a copy of his or her d</w:t>
      </w:r>
      <w:r w:rsidR="00132FCC" w:rsidRPr="001F7008">
        <w:rPr>
          <w:rFonts w:eastAsia="PMingLiU"/>
          <w:sz w:val="22"/>
          <w:szCs w:val="22"/>
        </w:rPr>
        <w:t>ecision</w:t>
      </w:r>
      <w:r w:rsidR="00497999" w:rsidRPr="001F7008">
        <w:rPr>
          <w:rFonts w:eastAsia="PMingLiU"/>
          <w:sz w:val="22"/>
          <w:szCs w:val="22"/>
        </w:rPr>
        <w:t xml:space="preserve"> to the property owner or responsible party, and to the entity that has adopted and is enforcing the Building Code.</w:t>
      </w:r>
    </w:p>
    <w:sectPr w:rsidR="00497999" w:rsidRPr="001F7008" w:rsidSect="00B9735F">
      <w:headerReference w:type="default" r:id="rId7"/>
      <w:footerReference w:type="default" r:id="rId8"/>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2BACCD" w14:textId="77777777" w:rsidR="00C632BB" w:rsidRDefault="00C632BB" w:rsidP="00511F20">
      <w:r>
        <w:separator/>
      </w:r>
    </w:p>
  </w:endnote>
  <w:endnote w:type="continuationSeparator" w:id="0">
    <w:p w14:paraId="1DA2B2F6" w14:textId="77777777" w:rsidR="00C632BB" w:rsidRDefault="00C632BB" w:rsidP="00511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00F0B" w14:textId="77777777" w:rsidR="005D55FD" w:rsidRDefault="005D55FD">
    <w:pPr>
      <w:spacing w:line="240" w:lineRule="exact"/>
    </w:pPr>
  </w:p>
  <w:p w14:paraId="09FE1B86" w14:textId="77777777" w:rsidR="005D55FD" w:rsidRDefault="005D55FD">
    <w:pPr>
      <w:framePr w:w="9361" w:wrap="notBeside" w:vAnchor="text" w:hAnchor="text" w:x="1" w:y="1"/>
      <w:jc w:val="center"/>
      <w:rPr>
        <w:b/>
        <w:bCs/>
        <w:sz w:val="22"/>
        <w:szCs w:val="22"/>
      </w:rPr>
    </w:pPr>
    <w:r>
      <w:rPr>
        <w:b/>
        <w:bCs/>
        <w:sz w:val="22"/>
        <w:szCs w:val="22"/>
      </w:rPr>
      <w:fldChar w:fldCharType="begin"/>
    </w:r>
    <w:r>
      <w:rPr>
        <w:b/>
        <w:bCs/>
        <w:sz w:val="22"/>
        <w:szCs w:val="22"/>
      </w:rPr>
      <w:instrText xml:space="preserve">PAGE </w:instrText>
    </w:r>
    <w:r>
      <w:rPr>
        <w:b/>
        <w:bCs/>
        <w:sz w:val="22"/>
        <w:szCs w:val="22"/>
      </w:rPr>
      <w:fldChar w:fldCharType="separate"/>
    </w:r>
    <w:r>
      <w:rPr>
        <w:b/>
        <w:bCs/>
        <w:noProof/>
        <w:sz w:val="22"/>
        <w:szCs w:val="22"/>
      </w:rPr>
      <w:t>1</w:t>
    </w:r>
    <w:r>
      <w:rPr>
        <w:b/>
        <w:bCs/>
        <w:sz w:val="22"/>
        <w:szCs w:val="22"/>
      </w:rPr>
      <w:fldChar w:fldCharType="end"/>
    </w:r>
  </w:p>
  <w:p w14:paraId="7472A756" w14:textId="77777777" w:rsidR="005D55FD" w:rsidRDefault="005D55F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3BCA09" w14:textId="77777777" w:rsidR="00C632BB" w:rsidRDefault="00C632BB" w:rsidP="00511F20">
      <w:r>
        <w:separator/>
      </w:r>
    </w:p>
  </w:footnote>
  <w:footnote w:type="continuationSeparator" w:id="0">
    <w:p w14:paraId="402E70CE" w14:textId="77777777" w:rsidR="00C632BB" w:rsidRDefault="00C632BB" w:rsidP="00511F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33AC1" w14:textId="5F4C257A" w:rsidR="005D55FD" w:rsidRPr="00E81DE1" w:rsidRDefault="005D55FD">
    <w:pPr>
      <w:jc w:val="center"/>
      <w:rPr>
        <w:rFonts w:eastAsia="PMingLiU"/>
        <w:b/>
        <w:bCs/>
        <w:sz w:val="22"/>
        <w:szCs w:val="22"/>
      </w:rPr>
    </w:pPr>
    <w:r w:rsidRPr="00E81DE1">
      <w:rPr>
        <w:rFonts w:eastAsia="PMingLiU"/>
        <w:b/>
        <w:bCs/>
        <w:sz w:val="22"/>
        <w:szCs w:val="22"/>
      </w:rPr>
      <w:t>87CSR4</w:t>
    </w:r>
  </w:p>
  <w:p w14:paraId="1CA1D63B" w14:textId="77777777" w:rsidR="005D55FD" w:rsidRDefault="005D55FD">
    <w:pPr>
      <w:jc w:val="center"/>
      <w:rPr>
        <w:rFonts w:ascii="PMingLiU" w:eastAsia="PMingLiU" w:cs="PMingLiU"/>
        <w:sz w:val="20"/>
        <w:szCs w:val="20"/>
      </w:rPr>
    </w:pPr>
  </w:p>
  <w:p w14:paraId="07A4604A" w14:textId="77777777" w:rsidR="005D55FD" w:rsidRDefault="005D55FD">
    <w:pPr>
      <w:spacing w:line="240" w:lineRule="exact"/>
      <w:rPr>
        <w:rFonts w:ascii="PMingLiU" w:eastAsia="PMingLiU" w:cs="PMingLiU"/>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F20"/>
    <w:rsid w:val="00004F37"/>
    <w:rsid w:val="00006E22"/>
    <w:rsid w:val="000107C3"/>
    <w:rsid w:val="0001424F"/>
    <w:rsid w:val="00024B37"/>
    <w:rsid w:val="00042A09"/>
    <w:rsid w:val="00054C4A"/>
    <w:rsid w:val="00061109"/>
    <w:rsid w:val="00092E4B"/>
    <w:rsid w:val="000946D0"/>
    <w:rsid w:val="000D19F1"/>
    <w:rsid w:val="000E4779"/>
    <w:rsid w:val="000F7594"/>
    <w:rsid w:val="001232F7"/>
    <w:rsid w:val="00132FCC"/>
    <w:rsid w:val="00155A5C"/>
    <w:rsid w:val="00184FBF"/>
    <w:rsid w:val="00185A78"/>
    <w:rsid w:val="00195A0B"/>
    <w:rsid w:val="001A0938"/>
    <w:rsid w:val="001C0AF9"/>
    <w:rsid w:val="001E3BE0"/>
    <w:rsid w:val="001F7008"/>
    <w:rsid w:val="00214827"/>
    <w:rsid w:val="002357DA"/>
    <w:rsid w:val="00240543"/>
    <w:rsid w:val="002F68C4"/>
    <w:rsid w:val="003028F1"/>
    <w:rsid w:val="00311D9B"/>
    <w:rsid w:val="003D1A50"/>
    <w:rsid w:val="003D7DDD"/>
    <w:rsid w:val="003F65AE"/>
    <w:rsid w:val="004077AF"/>
    <w:rsid w:val="00487425"/>
    <w:rsid w:val="00497999"/>
    <w:rsid w:val="004B1845"/>
    <w:rsid w:val="004B2A46"/>
    <w:rsid w:val="004D0E7D"/>
    <w:rsid w:val="004E0960"/>
    <w:rsid w:val="00510FA2"/>
    <w:rsid w:val="0051132D"/>
    <w:rsid w:val="00511F20"/>
    <w:rsid w:val="00547CDE"/>
    <w:rsid w:val="005565C9"/>
    <w:rsid w:val="005B13AA"/>
    <w:rsid w:val="005C54F2"/>
    <w:rsid w:val="005D55FD"/>
    <w:rsid w:val="00624AEB"/>
    <w:rsid w:val="006327E4"/>
    <w:rsid w:val="00637B54"/>
    <w:rsid w:val="0065757B"/>
    <w:rsid w:val="00680796"/>
    <w:rsid w:val="006974EA"/>
    <w:rsid w:val="006A0B21"/>
    <w:rsid w:val="006A6A0C"/>
    <w:rsid w:val="006B3728"/>
    <w:rsid w:val="006B57CB"/>
    <w:rsid w:val="006C55A3"/>
    <w:rsid w:val="006E0CAE"/>
    <w:rsid w:val="006E782F"/>
    <w:rsid w:val="006F44E2"/>
    <w:rsid w:val="00702DC1"/>
    <w:rsid w:val="00731E7B"/>
    <w:rsid w:val="00736C21"/>
    <w:rsid w:val="007475A9"/>
    <w:rsid w:val="00752A6F"/>
    <w:rsid w:val="007576CB"/>
    <w:rsid w:val="00767885"/>
    <w:rsid w:val="00782797"/>
    <w:rsid w:val="0079180D"/>
    <w:rsid w:val="00797266"/>
    <w:rsid w:val="007A6382"/>
    <w:rsid w:val="007B023C"/>
    <w:rsid w:val="007C43F3"/>
    <w:rsid w:val="007E5ED0"/>
    <w:rsid w:val="007E63D8"/>
    <w:rsid w:val="007F4CBD"/>
    <w:rsid w:val="00804B64"/>
    <w:rsid w:val="008168AE"/>
    <w:rsid w:val="00832CF5"/>
    <w:rsid w:val="0083643A"/>
    <w:rsid w:val="00844DF3"/>
    <w:rsid w:val="00870603"/>
    <w:rsid w:val="0088117A"/>
    <w:rsid w:val="008D0804"/>
    <w:rsid w:val="008F0A98"/>
    <w:rsid w:val="00925EF8"/>
    <w:rsid w:val="00942F84"/>
    <w:rsid w:val="00957E36"/>
    <w:rsid w:val="0097556B"/>
    <w:rsid w:val="00977C84"/>
    <w:rsid w:val="00995C1A"/>
    <w:rsid w:val="009B6839"/>
    <w:rsid w:val="009E4A84"/>
    <w:rsid w:val="009F0246"/>
    <w:rsid w:val="009F1630"/>
    <w:rsid w:val="00A24370"/>
    <w:rsid w:val="00A503DE"/>
    <w:rsid w:val="00A95A21"/>
    <w:rsid w:val="00AA1616"/>
    <w:rsid w:val="00AA6455"/>
    <w:rsid w:val="00AB2C64"/>
    <w:rsid w:val="00AE32B9"/>
    <w:rsid w:val="00B128E8"/>
    <w:rsid w:val="00B157F1"/>
    <w:rsid w:val="00B55273"/>
    <w:rsid w:val="00B5780E"/>
    <w:rsid w:val="00B71E55"/>
    <w:rsid w:val="00B7723B"/>
    <w:rsid w:val="00B80C85"/>
    <w:rsid w:val="00B83AD1"/>
    <w:rsid w:val="00B9735F"/>
    <w:rsid w:val="00BB4847"/>
    <w:rsid w:val="00BE7A00"/>
    <w:rsid w:val="00BF694D"/>
    <w:rsid w:val="00BF7112"/>
    <w:rsid w:val="00C27A8E"/>
    <w:rsid w:val="00C30171"/>
    <w:rsid w:val="00C33650"/>
    <w:rsid w:val="00C36D34"/>
    <w:rsid w:val="00C57BEE"/>
    <w:rsid w:val="00C632BB"/>
    <w:rsid w:val="00C810AA"/>
    <w:rsid w:val="00C846D7"/>
    <w:rsid w:val="00C870FC"/>
    <w:rsid w:val="00CD4361"/>
    <w:rsid w:val="00CE4DF0"/>
    <w:rsid w:val="00D24F75"/>
    <w:rsid w:val="00D4031E"/>
    <w:rsid w:val="00D57D50"/>
    <w:rsid w:val="00D62476"/>
    <w:rsid w:val="00D71A70"/>
    <w:rsid w:val="00D924AA"/>
    <w:rsid w:val="00DB1B31"/>
    <w:rsid w:val="00DB2E5D"/>
    <w:rsid w:val="00DB4EC4"/>
    <w:rsid w:val="00DD10C5"/>
    <w:rsid w:val="00DE064E"/>
    <w:rsid w:val="00DE1849"/>
    <w:rsid w:val="00DF3EB6"/>
    <w:rsid w:val="00DF7758"/>
    <w:rsid w:val="00E31644"/>
    <w:rsid w:val="00E45959"/>
    <w:rsid w:val="00E523CE"/>
    <w:rsid w:val="00E67251"/>
    <w:rsid w:val="00E77C5F"/>
    <w:rsid w:val="00E81DE1"/>
    <w:rsid w:val="00E87503"/>
    <w:rsid w:val="00EC7A77"/>
    <w:rsid w:val="00ED4E2F"/>
    <w:rsid w:val="00ED5A15"/>
    <w:rsid w:val="00F278D6"/>
    <w:rsid w:val="00F36CF9"/>
    <w:rsid w:val="00F40501"/>
    <w:rsid w:val="00F60E74"/>
    <w:rsid w:val="00F65714"/>
    <w:rsid w:val="00F77A13"/>
    <w:rsid w:val="00F820EE"/>
    <w:rsid w:val="00F96F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A316735"/>
  <w15:docId w15:val="{036E0DC3-1BD5-4897-96A9-FADBC85DD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B31"/>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rsid w:val="00DB1B31"/>
  </w:style>
  <w:style w:type="paragraph" w:styleId="Header">
    <w:name w:val="header"/>
    <w:basedOn w:val="Normal"/>
    <w:link w:val="HeaderChar"/>
    <w:uiPriority w:val="99"/>
    <w:unhideWhenUsed/>
    <w:rsid w:val="00024B37"/>
    <w:pPr>
      <w:tabs>
        <w:tab w:val="center" w:pos="4680"/>
        <w:tab w:val="right" w:pos="9360"/>
      </w:tabs>
    </w:pPr>
  </w:style>
  <w:style w:type="character" w:customStyle="1" w:styleId="HeaderChar">
    <w:name w:val="Header Char"/>
    <w:basedOn w:val="DefaultParagraphFont"/>
    <w:link w:val="Header"/>
    <w:uiPriority w:val="99"/>
    <w:rsid w:val="00024B37"/>
    <w:rPr>
      <w:rFonts w:ascii="Times New Roman" w:hAnsi="Times New Roman" w:cs="Times New Roman"/>
      <w:sz w:val="24"/>
      <w:szCs w:val="24"/>
    </w:rPr>
  </w:style>
  <w:style w:type="paragraph" w:styleId="Footer">
    <w:name w:val="footer"/>
    <w:basedOn w:val="Normal"/>
    <w:link w:val="FooterChar"/>
    <w:uiPriority w:val="99"/>
    <w:unhideWhenUsed/>
    <w:rsid w:val="00024B37"/>
    <w:pPr>
      <w:tabs>
        <w:tab w:val="center" w:pos="4680"/>
        <w:tab w:val="right" w:pos="9360"/>
      </w:tabs>
    </w:pPr>
  </w:style>
  <w:style w:type="character" w:customStyle="1" w:styleId="FooterChar">
    <w:name w:val="Footer Char"/>
    <w:basedOn w:val="DefaultParagraphFont"/>
    <w:link w:val="Footer"/>
    <w:uiPriority w:val="99"/>
    <w:rsid w:val="00024B37"/>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5C54F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54F2"/>
    <w:rPr>
      <w:rFonts w:ascii="Segoe UI" w:hAnsi="Segoe UI" w:cs="Segoe UI"/>
      <w:sz w:val="18"/>
      <w:szCs w:val="18"/>
    </w:rPr>
  </w:style>
  <w:style w:type="table" w:styleId="TableGrid">
    <w:name w:val="Table Grid"/>
    <w:basedOn w:val="TableNormal"/>
    <w:uiPriority w:val="39"/>
    <w:rsid w:val="00B71E5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7E5ED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65714"/>
    <w:rPr>
      <w:sz w:val="16"/>
      <w:szCs w:val="16"/>
    </w:rPr>
  </w:style>
  <w:style w:type="paragraph" w:styleId="CommentText">
    <w:name w:val="annotation text"/>
    <w:basedOn w:val="Normal"/>
    <w:link w:val="CommentTextChar"/>
    <w:uiPriority w:val="99"/>
    <w:semiHidden/>
    <w:unhideWhenUsed/>
    <w:rsid w:val="00F65714"/>
    <w:rPr>
      <w:sz w:val="20"/>
      <w:szCs w:val="20"/>
    </w:rPr>
  </w:style>
  <w:style w:type="character" w:customStyle="1" w:styleId="CommentTextChar">
    <w:name w:val="Comment Text Char"/>
    <w:basedOn w:val="DefaultParagraphFont"/>
    <w:link w:val="CommentText"/>
    <w:uiPriority w:val="99"/>
    <w:semiHidden/>
    <w:rsid w:val="00F65714"/>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65714"/>
    <w:rPr>
      <w:b/>
      <w:bCs/>
    </w:rPr>
  </w:style>
  <w:style w:type="character" w:customStyle="1" w:styleId="CommentSubjectChar">
    <w:name w:val="Comment Subject Char"/>
    <w:basedOn w:val="CommentTextChar"/>
    <w:link w:val="CommentSubject"/>
    <w:uiPriority w:val="99"/>
    <w:semiHidden/>
    <w:rsid w:val="00F65714"/>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80778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FE481-07F2-4E68-869D-C706187F2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9</Pages>
  <Words>3146</Words>
  <Characters>17937</Characters>
  <Application>Microsoft Office Word</Application>
  <DocSecurity>0</DocSecurity>
  <PresentationFormat>12|.DOCX</PresentationFormat>
  <Lines>149</Lines>
  <Paragraphs>42</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21041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subject>
  <dc:creator>Tyree, Kenneth E</dc:creator>
  <cp:keywords>
  </cp:keywords>
  <dc:description/>
  <cp:lastModifiedBy>Felton Ernest, Brandolyn</cp:lastModifiedBy>
  <cp:revision>7</cp:revision>
  <cp:lastPrinted>2021-07-29T14:00:00Z</cp:lastPrinted>
  <dcterms:created xsi:type="dcterms:W3CDTF">2022-03-17T13:27:00Z</dcterms:created>
  <dcterms:modified xsi:type="dcterms:W3CDTF">2022-05-05T15:49:00Z</dcterms:modified>
</cp:coreProperties>
</file>