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48E66" w14:textId="77777777" w:rsidR="00CD370E" w:rsidRPr="00CD370E" w:rsidRDefault="00CD370E" w:rsidP="00CD370E">
      <w:pPr>
        <w:shd w:val="clear" w:color="auto" w:fill="FFFFFF"/>
        <w:spacing w:before="300" w:after="150" w:line="240" w:lineRule="auto"/>
        <w:jc w:val="center"/>
        <w:outlineLvl w:val="0"/>
        <w:rPr>
          <w:rFonts w:ascii="Verdana" w:eastAsia="Times New Roman" w:hAnsi="Verdana" w:cs="Times New Roman"/>
          <w:color w:val="333333"/>
          <w:kern w:val="36"/>
          <w:sz w:val="54"/>
          <w:szCs w:val="54"/>
        </w:rPr>
      </w:pPr>
      <w:r w:rsidRPr="00CD370E">
        <w:rPr>
          <w:rFonts w:ascii="Verdana" w:eastAsia="Times New Roman" w:hAnsi="Verdana" w:cs="Times New Roman"/>
          <w:color w:val="333333"/>
          <w:kern w:val="36"/>
          <w:sz w:val="54"/>
          <w:szCs w:val="54"/>
        </w:rPr>
        <w:t>26 U.S. Code § 1221 - Capital asset defined</w:t>
      </w:r>
    </w:p>
    <w:p w14:paraId="49941772" w14:textId="31092383"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0" w:name="a"/>
      <w:bookmarkEnd w:id="0"/>
      <w:r w:rsidRPr="00CD370E">
        <w:rPr>
          <w:rFonts w:ascii="Verdana" w:eastAsia="Times New Roman" w:hAnsi="Verdana" w:cs="Times New Roman"/>
          <w:b/>
          <w:bCs/>
          <w:color w:val="333333"/>
          <w:sz w:val="24"/>
          <w:szCs w:val="24"/>
        </w:rPr>
        <w:t>(a)</w:t>
      </w:r>
      <w:r w:rsidRPr="00CD370E">
        <w:rPr>
          <w:rFonts w:ascii="Verdana" w:eastAsia="Times New Roman" w:hAnsi="Verdana" w:cs="Times New Roman"/>
          <w:b/>
          <w:bCs/>
          <w:smallCaps/>
          <w:color w:val="333333"/>
          <w:sz w:val="24"/>
          <w:szCs w:val="24"/>
        </w:rPr>
        <w:t xml:space="preserve">In </w:t>
      </w:r>
      <w:r w:rsidRPr="00CD370E">
        <w:rPr>
          <w:rFonts w:ascii="Verdana" w:eastAsia="Times New Roman" w:hAnsi="Verdana" w:cs="Times New Roman"/>
          <w:b/>
          <w:bCs/>
          <w:smallCaps/>
          <w:color w:val="333333"/>
          <w:sz w:val="24"/>
          <w:szCs w:val="24"/>
        </w:rPr>
        <w:t>general</w:t>
      </w:r>
      <w:r w:rsidRPr="00CD370E">
        <w:rPr>
          <w:rFonts w:ascii="Verdana" w:eastAsia="Times New Roman" w:hAnsi="Verdana" w:cs="Times New Roman"/>
          <w:color w:val="333333"/>
          <w:sz w:val="24"/>
          <w:szCs w:val="24"/>
        </w:rPr>
        <w:t xml:space="preserve"> For</w:t>
      </w:r>
      <w:r w:rsidRPr="00CD370E">
        <w:rPr>
          <w:rFonts w:ascii="Verdana" w:eastAsia="Times New Roman" w:hAnsi="Verdana" w:cs="Times New Roman"/>
          <w:color w:val="333333"/>
          <w:sz w:val="24"/>
          <w:szCs w:val="24"/>
        </w:rPr>
        <w:t xml:space="preserve"> purposes of this subtitle, the term “</w:t>
      </w:r>
      <w:hyperlink r:id="rId5" w:history="1">
        <w:r w:rsidRPr="00CD370E">
          <w:rPr>
            <w:rFonts w:ascii="Verdana" w:eastAsia="Times New Roman" w:hAnsi="Verdana" w:cs="Times New Roman"/>
            <w:color w:val="0068AC"/>
            <w:sz w:val="24"/>
            <w:szCs w:val="24"/>
            <w:u w:val="single"/>
          </w:rPr>
          <w:t>capital asset</w:t>
        </w:r>
      </w:hyperlink>
      <w:r w:rsidRPr="00CD370E">
        <w:rPr>
          <w:rFonts w:ascii="Verdana" w:eastAsia="Times New Roman" w:hAnsi="Verdana" w:cs="Times New Roman"/>
          <w:color w:val="333333"/>
          <w:sz w:val="24"/>
          <w:szCs w:val="24"/>
        </w:rPr>
        <w:t>” means property held by the taxpayer (whether or not connected with his trade or business), but does not include—</w:t>
      </w:r>
    </w:p>
    <w:p w14:paraId="51544A41"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1" w:name="a_1"/>
      <w:bookmarkEnd w:id="1"/>
      <w:r w:rsidRPr="00CD370E">
        <w:rPr>
          <w:rFonts w:ascii="Verdana" w:eastAsia="Times New Roman" w:hAnsi="Verdana" w:cs="Times New Roman"/>
          <w:b/>
          <w:bCs/>
          <w:color w:val="333333"/>
          <w:sz w:val="24"/>
          <w:szCs w:val="24"/>
        </w:rPr>
        <w:t>(1)</w:t>
      </w:r>
    </w:p>
    <w:p w14:paraId="29B17149"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 xml:space="preserve">stock in trade of the taxpayer or other property of a kind which would properly be included in the inventory of the taxpayer if on hand at the close of the taxable year, or property held by the taxpayer primarily for sale to customers in the ordinary course of his trade or </w:t>
      </w:r>
      <w:proofErr w:type="gramStart"/>
      <w:r w:rsidRPr="00CD370E">
        <w:rPr>
          <w:rFonts w:ascii="Verdana" w:eastAsia="Times New Roman" w:hAnsi="Verdana" w:cs="Times New Roman"/>
          <w:color w:val="333333"/>
          <w:sz w:val="24"/>
          <w:szCs w:val="24"/>
        </w:rPr>
        <w:t>business;</w:t>
      </w:r>
      <w:proofErr w:type="gramEnd"/>
    </w:p>
    <w:p w14:paraId="1753D6E9"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2" w:name="a_2"/>
      <w:bookmarkEnd w:id="2"/>
      <w:r w:rsidRPr="00CD370E">
        <w:rPr>
          <w:rFonts w:ascii="Verdana" w:eastAsia="Times New Roman" w:hAnsi="Verdana" w:cs="Times New Roman"/>
          <w:b/>
          <w:bCs/>
          <w:color w:val="333333"/>
          <w:sz w:val="24"/>
          <w:szCs w:val="24"/>
        </w:rPr>
        <w:t>(2)</w:t>
      </w:r>
    </w:p>
    <w:p w14:paraId="066876E0"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 xml:space="preserve">property, used in his trade or business, of a character which is subject to the allowance for depreciation provided in section 167, or real property used in his trade or </w:t>
      </w:r>
      <w:proofErr w:type="gramStart"/>
      <w:r w:rsidRPr="00CD370E">
        <w:rPr>
          <w:rFonts w:ascii="Verdana" w:eastAsia="Times New Roman" w:hAnsi="Verdana" w:cs="Times New Roman"/>
          <w:color w:val="333333"/>
          <w:sz w:val="24"/>
          <w:szCs w:val="24"/>
        </w:rPr>
        <w:t>business;</w:t>
      </w:r>
      <w:proofErr w:type="gramEnd"/>
    </w:p>
    <w:p w14:paraId="70A514C3"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3" w:name="a_3"/>
      <w:bookmarkEnd w:id="3"/>
      <w:r w:rsidRPr="00CD370E">
        <w:rPr>
          <w:rFonts w:ascii="Verdana" w:eastAsia="Times New Roman" w:hAnsi="Verdana" w:cs="Times New Roman"/>
          <w:b/>
          <w:bCs/>
          <w:color w:val="333333"/>
          <w:sz w:val="24"/>
          <w:szCs w:val="24"/>
        </w:rPr>
        <w:t>(3)</w:t>
      </w:r>
      <w:r w:rsidRPr="00CD370E">
        <w:rPr>
          <w:rFonts w:ascii="Verdana" w:eastAsia="Times New Roman" w:hAnsi="Verdana" w:cs="Times New Roman"/>
          <w:color w:val="333333"/>
          <w:sz w:val="24"/>
          <w:szCs w:val="24"/>
        </w:rPr>
        <w:t xml:space="preserve">a patent, invention, </w:t>
      </w:r>
      <w:proofErr w:type="gramStart"/>
      <w:r w:rsidRPr="00CD370E">
        <w:rPr>
          <w:rFonts w:ascii="Verdana" w:eastAsia="Times New Roman" w:hAnsi="Verdana" w:cs="Times New Roman"/>
          <w:color w:val="333333"/>
          <w:sz w:val="24"/>
          <w:szCs w:val="24"/>
        </w:rPr>
        <w:t>model</w:t>
      </w:r>
      <w:proofErr w:type="gramEnd"/>
      <w:r w:rsidRPr="00CD370E">
        <w:rPr>
          <w:rFonts w:ascii="Verdana" w:eastAsia="Times New Roman" w:hAnsi="Verdana" w:cs="Times New Roman"/>
          <w:color w:val="333333"/>
          <w:sz w:val="24"/>
          <w:szCs w:val="24"/>
        </w:rPr>
        <w:t xml:space="preserve"> or design (whether or not patented), a secret formula or process, a copyright, a literary, musical, or artistic composition, a letter or memorandum, or similar property, held by—</w:t>
      </w:r>
    </w:p>
    <w:p w14:paraId="081A6F2F"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4" w:name="a_3_A"/>
      <w:bookmarkEnd w:id="4"/>
      <w:r w:rsidRPr="00CD370E">
        <w:rPr>
          <w:rFonts w:ascii="Verdana" w:eastAsia="Times New Roman" w:hAnsi="Verdana" w:cs="Times New Roman"/>
          <w:b/>
          <w:bCs/>
          <w:color w:val="333333"/>
          <w:sz w:val="24"/>
          <w:szCs w:val="24"/>
        </w:rPr>
        <w:t>(A)</w:t>
      </w:r>
    </w:p>
    <w:p w14:paraId="792818BD"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a taxpayer whose personal efforts created such property,</w:t>
      </w:r>
    </w:p>
    <w:p w14:paraId="124A137B"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5" w:name="a_3_B"/>
      <w:bookmarkEnd w:id="5"/>
      <w:r w:rsidRPr="00CD370E">
        <w:rPr>
          <w:rFonts w:ascii="Verdana" w:eastAsia="Times New Roman" w:hAnsi="Verdana" w:cs="Times New Roman"/>
          <w:b/>
          <w:bCs/>
          <w:color w:val="333333"/>
          <w:sz w:val="24"/>
          <w:szCs w:val="24"/>
        </w:rPr>
        <w:t>(B)</w:t>
      </w:r>
    </w:p>
    <w:p w14:paraId="3EDA233C"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in the case of a letter, memorandum, or similar property, a taxpayer for whom such property was prepared or produced, or</w:t>
      </w:r>
    </w:p>
    <w:p w14:paraId="51868E8F"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6" w:name="a_3_C"/>
      <w:bookmarkEnd w:id="6"/>
      <w:r w:rsidRPr="00CD370E">
        <w:rPr>
          <w:rFonts w:ascii="Verdana" w:eastAsia="Times New Roman" w:hAnsi="Verdana" w:cs="Times New Roman"/>
          <w:b/>
          <w:bCs/>
          <w:color w:val="333333"/>
          <w:sz w:val="24"/>
          <w:szCs w:val="24"/>
        </w:rPr>
        <w:t>(C)</w:t>
      </w:r>
    </w:p>
    <w:p w14:paraId="3217F504"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a taxpayer in whose hands the basis of such property is determined, for purposes of determining gain from a sale or exchange, in whole or part by reference to the basis of such property in the hands of a taxpayer described in subparagraph (A) or (B</w:t>
      </w:r>
      <w:proofErr w:type="gramStart"/>
      <w:r w:rsidRPr="00CD370E">
        <w:rPr>
          <w:rFonts w:ascii="Verdana" w:eastAsia="Times New Roman" w:hAnsi="Verdana" w:cs="Times New Roman"/>
          <w:color w:val="333333"/>
          <w:sz w:val="24"/>
          <w:szCs w:val="24"/>
        </w:rPr>
        <w:t>);</w:t>
      </w:r>
      <w:proofErr w:type="gramEnd"/>
    </w:p>
    <w:p w14:paraId="5C1F77F6"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7" w:name="a_4"/>
      <w:bookmarkEnd w:id="7"/>
      <w:r w:rsidRPr="00CD370E">
        <w:rPr>
          <w:rFonts w:ascii="Verdana" w:eastAsia="Times New Roman" w:hAnsi="Verdana" w:cs="Times New Roman"/>
          <w:b/>
          <w:bCs/>
          <w:color w:val="333333"/>
          <w:sz w:val="24"/>
          <w:szCs w:val="24"/>
        </w:rPr>
        <w:t>(4)</w:t>
      </w:r>
    </w:p>
    <w:p w14:paraId="3E4A0C95"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accounts or notes receivable acquired in the ordinary course of trade or business for services rendered or from the sale of property described in paragraph (1</w:t>
      </w:r>
      <w:proofErr w:type="gramStart"/>
      <w:r w:rsidRPr="00CD370E">
        <w:rPr>
          <w:rFonts w:ascii="Verdana" w:eastAsia="Times New Roman" w:hAnsi="Verdana" w:cs="Times New Roman"/>
          <w:color w:val="333333"/>
          <w:sz w:val="24"/>
          <w:szCs w:val="24"/>
        </w:rPr>
        <w:t>);</w:t>
      </w:r>
      <w:proofErr w:type="gramEnd"/>
    </w:p>
    <w:p w14:paraId="39D17F67"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8" w:name="a_5"/>
      <w:bookmarkEnd w:id="8"/>
      <w:r w:rsidRPr="00CD370E">
        <w:rPr>
          <w:rFonts w:ascii="Verdana" w:eastAsia="Times New Roman" w:hAnsi="Verdana" w:cs="Times New Roman"/>
          <w:b/>
          <w:bCs/>
          <w:color w:val="333333"/>
          <w:sz w:val="24"/>
          <w:szCs w:val="24"/>
        </w:rPr>
        <w:t>(5)</w:t>
      </w:r>
      <w:r w:rsidRPr="00CD370E">
        <w:rPr>
          <w:rFonts w:ascii="Verdana" w:eastAsia="Times New Roman" w:hAnsi="Verdana" w:cs="Times New Roman"/>
          <w:color w:val="333333"/>
          <w:sz w:val="24"/>
          <w:szCs w:val="24"/>
        </w:rPr>
        <w:t>a publication of the United States Government (including the Congressional Record) which is received from the United States Government or any agency thereof, other than by purchase at the price at which it is offered for sale to the public, and which is held by—</w:t>
      </w:r>
    </w:p>
    <w:p w14:paraId="35117300"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9" w:name="a_5_A"/>
      <w:bookmarkEnd w:id="9"/>
      <w:r w:rsidRPr="00CD370E">
        <w:rPr>
          <w:rFonts w:ascii="Verdana" w:eastAsia="Times New Roman" w:hAnsi="Verdana" w:cs="Times New Roman"/>
          <w:b/>
          <w:bCs/>
          <w:color w:val="333333"/>
          <w:sz w:val="24"/>
          <w:szCs w:val="24"/>
        </w:rPr>
        <w:t>(A)</w:t>
      </w:r>
    </w:p>
    <w:p w14:paraId="7975A602"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a taxpayer who so received such publication, or</w:t>
      </w:r>
    </w:p>
    <w:p w14:paraId="316E80DB"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10" w:name="a_5_B"/>
      <w:bookmarkEnd w:id="10"/>
      <w:r w:rsidRPr="00CD370E">
        <w:rPr>
          <w:rFonts w:ascii="Verdana" w:eastAsia="Times New Roman" w:hAnsi="Verdana" w:cs="Times New Roman"/>
          <w:b/>
          <w:bCs/>
          <w:color w:val="333333"/>
          <w:sz w:val="24"/>
          <w:szCs w:val="24"/>
        </w:rPr>
        <w:t>(B)</w:t>
      </w:r>
    </w:p>
    <w:p w14:paraId="77521B36"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a taxpayer in whose hands the basis of such publication is determined, for purposes of determining gain from a sale or exchange, in whole or in part by reference to the basis of such publication in the hands of a taxpayer described in subparagraph (A</w:t>
      </w:r>
      <w:proofErr w:type="gramStart"/>
      <w:r w:rsidRPr="00CD370E">
        <w:rPr>
          <w:rFonts w:ascii="Verdana" w:eastAsia="Times New Roman" w:hAnsi="Verdana" w:cs="Times New Roman"/>
          <w:color w:val="333333"/>
          <w:sz w:val="24"/>
          <w:szCs w:val="24"/>
        </w:rPr>
        <w:t>);</w:t>
      </w:r>
      <w:proofErr w:type="gramEnd"/>
    </w:p>
    <w:p w14:paraId="23EAD5AA" w14:textId="2AFDD7DD"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11" w:name="a_6"/>
      <w:bookmarkEnd w:id="11"/>
      <w:r w:rsidRPr="00CD370E">
        <w:rPr>
          <w:rFonts w:ascii="Verdana" w:eastAsia="Times New Roman" w:hAnsi="Verdana" w:cs="Times New Roman"/>
          <w:b/>
          <w:bCs/>
          <w:color w:val="333333"/>
          <w:sz w:val="24"/>
          <w:szCs w:val="24"/>
        </w:rPr>
        <w:t>(6)</w:t>
      </w:r>
      <w:r>
        <w:rPr>
          <w:rFonts w:ascii="Verdana" w:eastAsia="Times New Roman" w:hAnsi="Verdana" w:cs="Times New Roman"/>
          <w:b/>
          <w:bCs/>
          <w:color w:val="333333"/>
          <w:sz w:val="24"/>
          <w:szCs w:val="24"/>
        </w:rPr>
        <w:t xml:space="preserve"> </w:t>
      </w:r>
      <w:r w:rsidRPr="00CD370E">
        <w:rPr>
          <w:rFonts w:ascii="Verdana" w:eastAsia="Times New Roman" w:hAnsi="Verdana" w:cs="Times New Roman"/>
          <w:color w:val="333333"/>
          <w:sz w:val="24"/>
          <w:szCs w:val="24"/>
        </w:rPr>
        <w:t>any </w:t>
      </w:r>
      <w:hyperlink r:id="rId6" w:history="1">
        <w:r w:rsidRPr="00CD370E">
          <w:rPr>
            <w:rFonts w:ascii="Verdana" w:eastAsia="Times New Roman" w:hAnsi="Verdana" w:cs="Times New Roman"/>
            <w:color w:val="0068AC"/>
            <w:sz w:val="24"/>
            <w:szCs w:val="24"/>
            <w:u w:val="single"/>
          </w:rPr>
          <w:t>commodities derivative financial instrument</w:t>
        </w:r>
      </w:hyperlink>
      <w:r w:rsidRPr="00CD370E">
        <w:rPr>
          <w:rFonts w:ascii="Verdana" w:eastAsia="Times New Roman" w:hAnsi="Verdana" w:cs="Times New Roman"/>
          <w:color w:val="333333"/>
          <w:sz w:val="24"/>
          <w:szCs w:val="24"/>
        </w:rPr>
        <w:t> held by a</w:t>
      </w:r>
      <w:hyperlink r:id="rId7" w:history="1">
        <w:r w:rsidRPr="00CD370E">
          <w:rPr>
            <w:rFonts w:ascii="Verdana" w:eastAsia="Times New Roman" w:hAnsi="Verdana" w:cs="Times New Roman"/>
            <w:color w:val="0068AC"/>
            <w:sz w:val="24"/>
            <w:szCs w:val="24"/>
            <w:u w:val="single"/>
          </w:rPr>
          <w:t> commodities derivatives dealer,</w:t>
        </w:r>
      </w:hyperlink>
      <w:r w:rsidRPr="00CD370E">
        <w:rPr>
          <w:rFonts w:ascii="Verdana" w:eastAsia="Times New Roman" w:hAnsi="Verdana" w:cs="Times New Roman"/>
          <w:color w:val="333333"/>
          <w:sz w:val="24"/>
          <w:szCs w:val="24"/>
        </w:rPr>
        <w:t> unless—</w:t>
      </w:r>
    </w:p>
    <w:p w14:paraId="031395BB"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12" w:name="a_6_A"/>
      <w:bookmarkEnd w:id="12"/>
      <w:r w:rsidRPr="00CD370E">
        <w:rPr>
          <w:rFonts w:ascii="Verdana" w:eastAsia="Times New Roman" w:hAnsi="Verdana" w:cs="Times New Roman"/>
          <w:b/>
          <w:bCs/>
          <w:color w:val="333333"/>
          <w:sz w:val="24"/>
          <w:szCs w:val="24"/>
        </w:rPr>
        <w:t>(A)</w:t>
      </w:r>
    </w:p>
    <w:p w14:paraId="2163D88A"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it is established to the satisfaction of the Secretary that such instrument has no connection to the activities of such dealer as a dealer, and</w:t>
      </w:r>
    </w:p>
    <w:p w14:paraId="0E76E30E"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13" w:name="a_6_B"/>
      <w:bookmarkEnd w:id="13"/>
      <w:r w:rsidRPr="00CD370E">
        <w:rPr>
          <w:rFonts w:ascii="Verdana" w:eastAsia="Times New Roman" w:hAnsi="Verdana" w:cs="Times New Roman"/>
          <w:b/>
          <w:bCs/>
          <w:color w:val="333333"/>
          <w:sz w:val="24"/>
          <w:szCs w:val="24"/>
        </w:rPr>
        <w:lastRenderedPageBreak/>
        <w:t>(B)</w:t>
      </w:r>
    </w:p>
    <w:p w14:paraId="01F14E0E"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such instrument is clearly identified in such dealer’s records as being described in subparagraph (A) before the close of the day on which it was acquired, originated, or entered into (or such other time as the Secretary may by regulations prescribe</w:t>
      </w:r>
      <w:proofErr w:type="gramStart"/>
      <w:r w:rsidRPr="00CD370E">
        <w:rPr>
          <w:rFonts w:ascii="Verdana" w:eastAsia="Times New Roman" w:hAnsi="Verdana" w:cs="Times New Roman"/>
          <w:color w:val="333333"/>
          <w:sz w:val="24"/>
          <w:szCs w:val="24"/>
        </w:rPr>
        <w:t>);</w:t>
      </w:r>
      <w:proofErr w:type="gramEnd"/>
    </w:p>
    <w:p w14:paraId="214C2AE2"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14" w:name="a_7"/>
      <w:bookmarkEnd w:id="14"/>
      <w:r w:rsidRPr="00CD370E">
        <w:rPr>
          <w:rFonts w:ascii="Verdana" w:eastAsia="Times New Roman" w:hAnsi="Verdana" w:cs="Times New Roman"/>
          <w:b/>
          <w:bCs/>
          <w:color w:val="333333"/>
          <w:sz w:val="24"/>
          <w:szCs w:val="24"/>
        </w:rPr>
        <w:t>(7)</w:t>
      </w:r>
    </w:p>
    <w:p w14:paraId="0215D1A3"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any </w:t>
      </w:r>
      <w:hyperlink r:id="rId8" w:history="1">
        <w:r w:rsidRPr="00CD370E">
          <w:rPr>
            <w:rFonts w:ascii="Verdana" w:eastAsia="Times New Roman" w:hAnsi="Verdana" w:cs="Times New Roman"/>
            <w:color w:val="0068AC"/>
            <w:sz w:val="24"/>
            <w:szCs w:val="24"/>
            <w:u w:val="single"/>
          </w:rPr>
          <w:t>hedging transaction</w:t>
        </w:r>
      </w:hyperlink>
      <w:r w:rsidRPr="00CD370E">
        <w:rPr>
          <w:rFonts w:ascii="Verdana" w:eastAsia="Times New Roman" w:hAnsi="Verdana" w:cs="Times New Roman"/>
          <w:color w:val="333333"/>
          <w:sz w:val="24"/>
          <w:szCs w:val="24"/>
        </w:rPr>
        <w:t> which is clearly identified as such before the close of the day on which it was acquired, originated, or entered into (or such other time as the Secretary may by regulations prescribe); or</w:t>
      </w:r>
    </w:p>
    <w:p w14:paraId="1A1800CE"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15" w:name="a_8"/>
      <w:bookmarkEnd w:id="15"/>
      <w:r w:rsidRPr="00CD370E">
        <w:rPr>
          <w:rFonts w:ascii="Verdana" w:eastAsia="Times New Roman" w:hAnsi="Verdana" w:cs="Times New Roman"/>
          <w:b/>
          <w:bCs/>
          <w:color w:val="333333"/>
          <w:sz w:val="24"/>
          <w:szCs w:val="24"/>
        </w:rPr>
        <w:t>(8)</w:t>
      </w:r>
    </w:p>
    <w:p w14:paraId="25E3A739"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supplies of a type regularly used or consumed by the taxpayer in the ordinary course of a trade or business of the taxpayer.</w:t>
      </w:r>
    </w:p>
    <w:p w14:paraId="2992EBA8" w14:textId="7A25F9A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16" w:name="b"/>
      <w:bookmarkEnd w:id="16"/>
      <w:r w:rsidRPr="00CD370E">
        <w:rPr>
          <w:rFonts w:ascii="Verdana" w:eastAsia="Times New Roman" w:hAnsi="Verdana" w:cs="Times New Roman"/>
          <w:b/>
          <w:bCs/>
          <w:color w:val="333333"/>
          <w:sz w:val="24"/>
          <w:szCs w:val="24"/>
        </w:rPr>
        <w:t>(b)</w:t>
      </w:r>
      <w:r>
        <w:rPr>
          <w:rFonts w:ascii="Verdana" w:eastAsia="Times New Roman" w:hAnsi="Verdana" w:cs="Times New Roman"/>
          <w:b/>
          <w:bCs/>
          <w:color w:val="333333"/>
          <w:sz w:val="24"/>
          <w:szCs w:val="24"/>
        </w:rPr>
        <w:t xml:space="preserve"> </w:t>
      </w:r>
      <w:r w:rsidRPr="00CD370E">
        <w:rPr>
          <w:rFonts w:ascii="Verdana" w:eastAsia="Times New Roman" w:hAnsi="Verdana" w:cs="Times New Roman"/>
          <w:b/>
          <w:bCs/>
          <w:smallCaps/>
          <w:color w:val="333333"/>
          <w:sz w:val="24"/>
          <w:szCs w:val="24"/>
        </w:rPr>
        <w:t>Definitions and special rules</w:t>
      </w:r>
    </w:p>
    <w:p w14:paraId="04675D7B" w14:textId="3BD875A4"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17" w:name="b_1"/>
      <w:bookmarkEnd w:id="17"/>
      <w:r w:rsidRPr="00CD370E">
        <w:rPr>
          <w:rFonts w:ascii="Verdana" w:eastAsia="Times New Roman" w:hAnsi="Verdana" w:cs="Times New Roman"/>
          <w:b/>
          <w:bCs/>
          <w:color w:val="333333"/>
          <w:sz w:val="24"/>
          <w:szCs w:val="24"/>
        </w:rPr>
        <w:t>(1)</w:t>
      </w:r>
      <w:r>
        <w:rPr>
          <w:rFonts w:ascii="Verdana" w:eastAsia="Times New Roman" w:hAnsi="Verdana" w:cs="Times New Roman"/>
          <w:b/>
          <w:bCs/>
          <w:color w:val="333333"/>
          <w:sz w:val="24"/>
          <w:szCs w:val="24"/>
        </w:rPr>
        <w:t xml:space="preserve"> </w:t>
      </w:r>
      <w:r w:rsidRPr="00CD370E">
        <w:rPr>
          <w:rFonts w:ascii="Verdana" w:eastAsia="Times New Roman" w:hAnsi="Verdana" w:cs="Times New Roman"/>
          <w:b/>
          <w:bCs/>
          <w:smallCaps/>
          <w:color w:val="333333"/>
          <w:sz w:val="24"/>
          <w:szCs w:val="24"/>
        </w:rPr>
        <w:t xml:space="preserve">Commodities derivative financial </w:t>
      </w:r>
      <w:r w:rsidRPr="00CD370E">
        <w:rPr>
          <w:rFonts w:ascii="Verdana" w:eastAsia="Times New Roman" w:hAnsi="Verdana" w:cs="Times New Roman"/>
          <w:b/>
          <w:bCs/>
          <w:smallCaps/>
          <w:color w:val="333333"/>
          <w:sz w:val="24"/>
          <w:szCs w:val="24"/>
        </w:rPr>
        <w:t>instruments</w:t>
      </w:r>
      <w:r w:rsidRPr="00CD370E">
        <w:rPr>
          <w:rFonts w:ascii="Verdana" w:eastAsia="Times New Roman" w:hAnsi="Verdana" w:cs="Times New Roman"/>
          <w:color w:val="333333"/>
          <w:sz w:val="24"/>
          <w:szCs w:val="24"/>
        </w:rPr>
        <w:t xml:space="preserve"> For</w:t>
      </w:r>
      <w:r w:rsidRPr="00CD370E">
        <w:rPr>
          <w:rFonts w:ascii="Verdana" w:eastAsia="Times New Roman" w:hAnsi="Verdana" w:cs="Times New Roman"/>
          <w:color w:val="333333"/>
          <w:sz w:val="24"/>
          <w:szCs w:val="24"/>
        </w:rPr>
        <w:t xml:space="preserve"> purposes of subsection (a)(6)—</w:t>
      </w:r>
    </w:p>
    <w:p w14:paraId="0C79FC2C" w14:textId="1DE77D25"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18" w:name="b_1_A"/>
      <w:bookmarkEnd w:id="18"/>
      <w:r w:rsidRPr="00CD370E">
        <w:rPr>
          <w:rFonts w:ascii="Verdana" w:eastAsia="Times New Roman" w:hAnsi="Verdana" w:cs="Times New Roman"/>
          <w:b/>
          <w:bCs/>
          <w:color w:val="333333"/>
          <w:sz w:val="24"/>
          <w:szCs w:val="24"/>
        </w:rPr>
        <w:t>(A)</w:t>
      </w:r>
      <w:r>
        <w:rPr>
          <w:rFonts w:ascii="Verdana" w:eastAsia="Times New Roman" w:hAnsi="Verdana" w:cs="Times New Roman"/>
          <w:b/>
          <w:bCs/>
          <w:color w:val="333333"/>
          <w:sz w:val="24"/>
          <w:szCs w:val="24"/>
        </w:rPr>
        <w:t xml:space="preserve"> </w:t>
      </w:r>
      <w:r w:rsidRPr="00CD370E">
        <w:rPr>
          <w:rFonts w:ascii="Verdana" w:eastAsia="Times New Roman" w:hAnsi="Verdana" w:cs="Times New Roman"/>
          <w:b/>
          <w:bCs/>
          <w:color w:val="333333"/>
          <w:sz w:val="24"/>
          <w:szCs w:val="24"/>
        </w:rPr>
        <w:t>Commodities derivatives dealer</w:t>
      </w:r>
    </w:p>
    <w:p w14:paraId="3ECBD836" w14:textId="77777777" w:rsidR="00CD370E" w:rsidRPr="00CD370E" w:rsidRDefault="00CD370E" w:rsidP="00CD370E">
      <w:pPr>
        <w:shd w:val="clear" w:color="auto" w:fill="FFFFFF"/>
        <w:spacing w:after="15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The term “</w:t>
      </w:r>
      <w:hyperlink r:id="rId9" w:history="1">
        <w:r w:rsidRPr="00CD370E">
          <w:rPr>
            <w:rFonts w:ascii="Verdana" w:eastAsia="Times New Roman" w:hAnsi="Verdana" w:cs="Times New Roman"/>
            <w:color w:val="0068AC"/>
            <w:sz w:val="24"/>
            <w:szCs w:val="24"/>
            <w:u w:val="single"/>
          </w:rPr>
          <w:t>commodities derivatives dealer</w:t>
        </w:r>
      </w:hyperlink>
      <w:r w:rsidRPr="00CD370E">
        <w:rPr>
          <w:rFonts w:ascii="Verdana" w:eastAsia="Times New Roman" w:hAnsi="Verdana" w:cs="Times New Roman"/>
          <w:color w:val="333333"/>
          <w:sz w:val="24"/>
          <w:szCs w:val="24"/>
        </w:rPr>
        <w:t>” means a person which </w:t>
      </w:r>
      <w:bookmarkStart w:id="19" w:name="fn002143-ref"/>
      <w:r w:rsidRPr="00CD370E">
        <w:rPr>
          <w:rFonts w:ascii="Verdana" w:eastAsia="Times New Roman" w:hAnsi="Verdana" w:cs="Times New Roman"/>
          <w:color w:val="333333"/>
          <w:sz w:val="24"/>
          <w:szCs w:val="24"/>
        </w:rPr>
        <w:fldChar w:fldCharType="begin"/>
      </w:r>
      <w:r w:rsidRPr="00CD370E">
        <w:rPr>
          <w:rFonts w:ascii="Verdana" w:eastAsia="Times New Roman" w:hAnsi="Verdana" w:cs="Times New Roman"/>
          <w:color w:val="333333"/>
          <w:sz w:val="24"/>
          <w:szCs w:val="24"/>
        </w:rPr>
        <w:instrText xml:space="preserve"> HYPERLINK "https://www.law.cornell.edu/uscode/text/26/1221" \l "fn002143" </w:instrText>
      </w:r>
      <w:r w:rsidRPr="00CD370E">
        <w:rPr>
          <w:rFonts w:ascii="Verdana" w:eastAsia="Times New Roman" w:hAnsi="Verdana" w:cs="Times New Roman"/>
          <w:color w:val="333333"/>
          <w:sz w:val="24"/>
          <w:szCs w:val="24"/>
        </w:rPr>
        <w:fldChar w:fldCharType="separate"/>
      </w:r>
      <w:r w:rsidRPr="00CD370E">
        <w:rPr>
          <w:rFonts w:ascii="Verdana" w:eastAsia="Times New Roman" w:hAnsi="Verdana" w:cs="Times New Roman"/>
          <w:color w:val="0068AC"/>
          <w:sz w:val="17"/>
          <w:szCs w:val="17"/>
          <w:u w:val="single"/>
        </w:rPr>
        <w:t>[1]</w:t>
      </w:r>
      <w:r w:rsidRPr="00CD370E">
        <w:rPr>
          <w:rFonts w:ascii="Verdana" w:eastAsia="Times New Roman" w:hAnsi="Verdana" w:cs="Times New Roman"/>
          <w:color w:val="333333"/>
          <w:sz w:val="24"/>
          <w:szCs w:val="24"/>
        </w:rPr>
        <w:fldChar w:fldCharType="end"/>
      </w:r>
      <w:bookmarkEnd w:id="19"/>
      <w:r w:rsidRPr="00CD370E">
        <w:rPr>
          <w:rFonts w:ascii="Verdana" w:eastAsia="Times New Roman" w:hAnsi="Verdana" w:cs="Times New Roman"/>
          <w:color w:val="333333"/>
          <w:sz w:val="24"/>
          <w:szCs w:val="24"/>
        </w:rPr>
        <w:t> regularly offers to enter into, assume, offset, assign, or terminate positions in</w:t>
      </w:r>
      <w:hyperlink r:id="rId10" w:history="1">
        <w:r w:rsidRPr="00CD370E">
          <w:rPr>
            <w:rFonts w:ascii="Verdana" w:eastAsia="Times New Roman" w:hAnsi="Verdana" w:cs="Times New Roman"/>
            <w:color w:val="0068AC"/>
            <w:sz w:val="24"/>
            <w:szCs w:val="24"/>
            <w:u w:val="single"/>
          </w:rPr>
          <w:t> commodities derivative financial instruments </w:t>
        </w:r>
      </w:hyperlink>
      <w:r w:rsidRPr="00CD370E">
        <w:rPr>
          <w:rFonts w:ascii="Verdana" w:eastAsia="Times New Roman" w:hAnsi="Verdana" w:cs="Times New Roman"/>
          <w:color w:val="333333"/>
          <w:sz w:val="24"/>
          <w:szCs w:val="24"/>
        </w:rPr>
        <w:t>with customers in the ordinary course of a trade or business.</w:t>
      </w:r>
    </w:p>
    <w:p w14:paraId="2D325A3F" w14:textId="54B8C97C"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20" w:name="b_1_B"/>
      <w:bookmarkEnd w:id="20"/>
      <w:r w:rsidRPr="00CD370E">
        <w:rPr>
          <w:rFonts w:ascii="Verdana" w:eastAsia="Times New Roman" w:hAnsi="Verdana" w:cs="Times New Roman"/>
          <w:b/>
          <w:bCs/>
          <w:color w:val="333333"/>
          <w:sz w:val="24"/>
          <w:szCs w:val="24"/>
        </w:rPr>
        <w:t>(B)</w:t>
      </w:r>
      <w:r>
        <w:rPr>
          <w:rFonts w:ascii="Verdana" w:eastAsia="Times New Roman" w:hAnsi="Verdana" w:cs="Times New Roman"/>
          <w:b/>
          <w:bCs/>
          <w:color w:val="333333"/>
          <w:sz w:val="24"/>
          <w:szCs w:val="24"/>
        </w:rPr>
        <w:t xml:space="preserve"> </w:t>
      </w:r>
      <w:r w:rsidRPr="00CD370E">
        <w:rPr>
          <w:rFonts w:ascii="Verdana" w:eastAsia="Times New Roman" w:hAnsi="Verdana" w:cs="Times New Roman"/>
          <w:b/>
          <w:bCs/>
          <w:color w:val="333333"/>
          <w:sz w:val="24"/>
          <w:szCs w:val="24"/>
        </w:rPr>
        <w:t>Commodities derivative financial instrument</w:t>
      </w:r>
    </w:p>
    <w:p w14:paraId="7FBCF96D" w14:textId="50167A1B"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21" w:name="b_1_B_i"/>
      <w:bookmarkEnd w:id="21"/>
      <w:r w:rsidRPr="00CD370E">
        <w:rPr>
          <w:rFonts w:ascii="Verdana" w:eastAsia="Times New Roman" w:hAnsi="Verdana" w:cs="Times New Roman"/>
          <w:b/>
          <w:bCs/>
          <w:color w:val="333333"/>
          <w:sz w:val="24"/>
          <w:szCs w:val="24"/>
        </w:rPr>
        <w:t>(</w:t>
      </w:r>
      <w:proofErr w:type="spellStart"/>
      <w:r w:rsidRPr="00CD370E">
        <w:rPr>
          <w:rFonts w:ascii="Verdana" w:eastAsia="Times New Roman" w:hAnsi="Verdana" w:cs="Times New Roman"/>
          <w:b/>
          <w:bCs/>
          <w:color w:val="333333"/>
          <w:sz w:val="24"/>
          <w:szCs w:val="24"/>
        </w:rPr>
        <w:t>i</w:t>
      </w:r>
      <w:proofErr w:type="spellEnd"/>
      <w:r w:rsidRPr="00CD370E">
        <w:rPr>
          <w:rFonts w:ascii="Verdana" w:eastAsia="Times New Roman" w:hAnsi="Verdana" w:cs="Times New Roman"/>
          <w:b/>
          <w:bCs/>
          <w:color w:val="333333"/>
          <w:sz w:val="24"/>
          <w:szCs w:val="24"/>
        </w:rPr>
        <w:t>)</w:t>
      </w:r>
      <w:r>
        <w:rPr>
          <w:rFonts w:ascii="Verdana" w:eastAsia="Times New Roman" w:hAnsi="Verdana" w:cs="Times New Roman"/>
          <w:b/>
          <w:bCs/>
          <w:color w:val="333333"/>
          <w:sz w:val="24"/>
          <w:szCs w:val="24"/>
        </w:rPr>
        <w:t xml:space="preserve"> </w:t>
      </w:r>
      <w:r w:rsidRPr="00CD370E">
        <w:rPr>
          <w:rFonts w:ascii="Verdana" w:eastAsia="Times New Roman" w:hAnsi="Verdana" w:cs="Times New Roman"/>
          <w:b/>
          <w:bCs/>
          <w:color w:val="333333"/>
          <w:sz w:val="24"/>
          <w:szCs w:val="24"/>
        </w:rPr>
        <w:t>In general</w:t>
      </w:r>
    </w:p>
    <w:p w14:paraId="0FB9C2F0" w14:textId="77777777" w:rsidR="00CD370E" w:rsidRPr="00CD370E" w:rsidRDefault="00CD370E" w:rsidP="00CD370E">
      <w:pPr>
        <w:shd w:val="clear" w:color="auto" w:fill="FFFFFF"/>
        <w:spacing w:after="15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The term “</w:t>
      </w:r>
      <w:hyperlink r:id="rId11" w:history="1">
        <w:r w:rsidRPr="00CD370E">
          <w:rPr>
            <w:rFonts w:ascii="Verdana" w:eastAsia="Times New Roman" w:hAnsi="Verdana" w:cs="Times New Roman"/>
            <w:color w:val="0068AC"/>
            <w:sz w:val="24"/>
            <w:szCs w:val="24"/>
            <w:u w:val="single"/>
          </w:rPr>
          <w:t>commodities derivative financial instrument</w:t>
        </w:r>
      </w:hyperlink>
      <w:r w:rsidRPr="00CD370E">
        <w:rPr>
          <w:rFonts w:ascii="Verdana" w:eastAsia="Times New Roman" w:hAnsi="Verdana" w:cs="Times New Roman"/>
          <w:color w:val="333333"/>
          <w:sz w:val="24"/>
          <w:szCs w:val="24"/>
        </w:rPr>
        <w:t>” means any contract or financial instrument with respect to commodities (other than a share of stock in a corporation, a beneficial interest in a partnership or trust, a note, bond, debenture, or other evidence of indebtedness, or a </w:t>
      </w:r>
      <w:hyperlink r:id="rId12" w:history="1">
        <w:r w:rsidRPr="00CD370E">
          <w:rPr>
            <w:rFonts w:ascii="Verdana" w:eastAsia="Times New Roman" w:hAnsi="Verdana" w:cs="Times New Roman"/>
            <w:color w:val="0068AC"/>
            <w:sz w:val="24"/>
            <w:szCs w:val="24"/>
            <w:u w:val="single"/>
          </w:rPr>
          <w:t>section 1256</w:t>
        </w:r>
      </w:hyperlink>
      <w:r w:rsidRPr="00CD370E">
        <w:rPr>
          <w:rFonts w:ascii="Verdana" w:eastAsia="Times New Roman" w:hAnsi="Verdana" w:cs="Times New Roman"/>
          <w:color w:val="333333"/>
          <w:sz w:val="24"/>
          <w:szCs w:val="24"/>
        </w:rPr>
        <w:t> contract (as defined in section 1256(b))), the value or settlement price of which is calculated by or determined by reference to a</w:t>
      </w:r>
      <w:hyperlink r:id="rId13" w:history="1">
        <w:r w:rsidRPr="00CD370E">
          <w:rPr>
            <w:rFonts w:ascii="Verdana" w:eastAsia="Times New Roman" w:hAnsi="Verdana" w:cs="Times New Roman"/>
            <w:color w:val="0068AC"/>
            <w:sz w:val="24"/>
            <w:szCs w:val="24"/>
            <w:u w:val="single"/>
          </w:rPr>
          <w:t> specified index.</w:t>
        </w:r>
      </w:hyperlink>
    </w:p>
    <w:p w14:paraId="647819DF" w14:textId="7ECDE509"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22" w:name="b_1_B_ii"/>
      <w:bookmarkEnd w:id="22"/>
      <w:r w:rsidRPr="00CD370E">
        <w:rPr>
          <w:rFonts w:ascii="Verdana" w:eastAsia="Times New Roman" w:hAnsi="Verdana" w:cs="Times New Roman"/>
          <w:b/>
          <w:bCs/>
          <w:color w:val="333333"/>
          <w:sz w:val="24"/>
          <w:szCs w:val="24"/>
        </w:rPr>
        <w:t>(ii)</w:t>
      </w:r>
      <w:r>
        <w:rPr>
          <w:rFonts w:ascii="Verdana" w:eastAsia="Times New Roman" w:hAnsi="Verdana" w:cs="Times New Roman"/>
          <w:b/>
          <w:bCs/>
          <w:color w:val="333333"/>
          <w:sz w:val="24"/>
          <w:szCs w:val="24"/>
        </w:rPr>
        <w:t xml:space="preserve"> </w:t>
      </w:r>
      <w:r w:rsidRPr="00CD370E">
        <w:rPr>
          <w:rFonts w:ascii="Verdana" w:eastAsia="Times New Roman" w:hAnsi="Verdana" w:cs="Times New Roman"/>
          <w:b/>
          <w:bCs/>
          <w:color w:val="333333"/>
          <w:sz w:val="24"/>
          <w:szCs w:val="24"/>
        </w:rPr>
        <w:t xml:space="preserve">Specified </w:t>
      </w:r>
      <w:r w:rsidRPr="00CD370E">
        <w:rPr>
          <w:rFonts w:ascii="Verdana" w:eastAsia="Times New Roman" w:hAnsi="Verdana" w:cs="Times New Roman"/>
          <w:b/>
          <w:bCs/>
          <w:color w:val="333333"/>
          <w:sz w:val="24"/>
          <w:szCs w:val="24"/>
        </w:rPr>
        <w:t>index</w:t>
      </w:r>
      <w:r w:rsidRPr="00CD370E">
        <w:rPr>
          <w:rFonts w:ascii="Verdana" w:eastAsia="Times New Roman" w:hAnsi="Verdana" w:cs="Times New Roman"/>
          <w:color w:val="333333"/>
          <w:sz w:val="24"/>
          <w:szCs w:val="24"/>
        </w:rPr>
        <w:t xml:space="preserve"> The</w:t>
      </w:r>
      <w:r w:rsidRPr="00CD370E">
        <w:rPr>
          <w:rFonts w:ascii="Verdana" w:eastAsia="Times New Roman" w:hAnsi="Verdana" w:cs="Times New Roman"/>
          <w:color w:val="333333"/>
          <w:sz w:val="24"/>
          <w:szCs w:val="24"/>
        </w:rPr>
        <w:t xml:space="preserve"> term “</w:t>
      </w:r>
      <w:hyperlink r:id="rId14" w:history="1">
        <w:r w:rsidRPr="00CD370E">
          <w:rPr>
            <w:rFonts w:ascii="Verdana" w:eastAsia="Times New Roman" w:hAnsi="Verdana" w:cs="Times New Roman"/>
            <w:color w:val="0068AC"/>
            <w:sz w:val="24"/>
            <w:szCs w:val="24"/>
            <w:u w:val="single"/>
          </w:rPr>
          <w:t>specified index</w:t>
        </w:r>
      </w:hyperlink>
      <w:r w:rsidRPr="00CD370E">
        <w:rPr>
          <w:rFonts w:ascii="Verdana" w:eastAsia="Times New Roman" w:hAnsi="Verdana" w:cs="Times New Roman"/>
          <w:color w:val="333333"/>
          <w:sz w:val="24"/>
          <w:szCs w:val="24"/>
        </w:rPr>
        <w:t>” means any one or more or any combination of—</w:t>
      </w:r>
    </w:p>
    <w:p w14:paraId="6E85720D"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23" w:name="b_1_B_ii_I"/>
      <w:bookmarkEnd w:id="23"/>
      <w:r w:rsidRPr="00CD370E">
        <w:rPr>
          <w:rFonts w:ascii="Verdana" w:eastAsia="Times New Roman" w:hAnsi="Verdana" w:cs="Times New Roman"/>
          <w:b/>
          <w:bCs/>
          <w:color w:val="333333"/>
          <w:sz w:val="24"/>
          <w:szCs w:val="24"/>
        </w:rPr>
        <w:t>(I)</w:t>
      </w:r>
    </w:p>
    <w:p w14:paraId="10754819"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a fixed rate, price, or amount, or</w:t>
      </w:r>
    </w:p>
    <w:p w14:paraId="7E5BA5CB"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24" w:name="b_1_B_ii_II"/>
      <w:bookmarkEnd w:id="24"/>
      <w:r w:rsidRPr="00CD370E">
        <w:rPr>
          <w:rFonts w:ascii="Verdana" w:eastAsia="Times New Roman" w:hAnsi="Verdana" w:cs="Times New Roman"/>
          <w:b/>
          <w:bCs/>
          <w:color w:val="333333"/>
          <w:sz w:val="24"/>
          <w:szCs w:val="24"/>
        </w:rPr>
        <w:t>(II)</w:t>
      </w:r>
    </w:p>
    <w:p w14:paraId="1CF45E3A"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a variable rate, price, or amount,</w:t>
      </w:r>
    </w:p>
    <w:p w14:paraId="65CF85C0"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Arial" w:eastAsia="Times New Roman" w:hAnsi="Arial" w:cs="Arial"/>
          <w:color w:val="333333"/>
          <w:sz w:val="24"/>
          <w:szCs w:val="24"/>
        </w:rPr>
        <w:t> </w:t>
      </w:r>
      <w:r w:rsidRPr="00CD370E">
        <w:rPr>
          <w:rFonts w:ascii="Verdana" w:eastAsia="Times New Roman" w:hAnsi="Verdana" w:cs="Times New Roman"/>
          <w:color w:val="333333"/>
          <w:sz w:val="24"/>
          <w:szCs w:val="24"/>
        </w:rPr>
        <w:t>which is based on any current, objectively determinable financial or economic information with respect to commodities which is not within the control of any of the parties to the contract or instrument and is not unique to any of the parties’ circumstances.</w:t>
      </w:r>
    </w:p>
    <w:p w14:paraId="654AF6CE" w14:textId="488DB10C"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25" w:name="b_2"/>
      <w:bookmarkEnd w:id="25"/>
      <w:r w:rsidRPr="00CD370E">
        <w:rPr>
          <w:rFonts w:ascii="Verdana" w:eastAsia="Times New Roman" w:hAnsi="Verdana" w:cs="Times New Roman"/>
          <w:b/>
          <w:bCs/>
          <w:color w:val="333333"/>
          <w:sz w:val="24"/>
          <w:szCs w:val="24"/>
        </w:rPr>
        <w:t>(2)</w:t>
      </w:r>
      <w:r>
        <w:rPr>
          <w:rFonts w:ascii="Verdana" w:eastAsia="Times New Roman" w:hAnsi="Verdana" w:cs="Times New Roman"/>
          <w:b/>
          <w:bCs/>
          <w:color w:val="333333"/>
          <w:sz w:val="24"/>
          <w:szCs w:val="24"/>
        </w:rPr>
        <w:t xml:space="preserve"> </w:t>
      </w:r>
      <w:r w:rsidRPr="00CD370E">
        <w:rPr>
          <w:rFonts w:ascii="Verdana" w:eastAsia="Times New Roman" w:hAnsi="Verdana" w:cs="Times New Roman"/>
          <w:b/>
          <w:bCs/>
          <w:smallCaps/>
          <w:color w:val="333333"/>
          <w:sz w:val="24"/>
          <w:szCs w:val="24"/>
        </w:rPr>
        <w:t>Hedging transaction</w:t>
      </w:r>
    </w:p>
    <w:p w14:paraId="07EB37CC" w14:textId="339EC256"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26" w:name="b_2_A"/>
      <w:bookmarkEnd w:id="26"/>
      <w:r w:rsidRPr="00CD370E">
        <w:rPr>
          <w:rFonts w:ascii="Verdana" w:eastAsia="Times New Roman" w:hAnsi="Verdana" w:cs="Times New Roman"/>
          <w:b/>
          <w:bCs/>
          <w:color w:val="333333"/>
          <w:sz w:val="24"/>
          <w:szCs w:val="24"/>
        </w:rPr>
        <w:t xml:space="preserve">(A)In </w:t>
      </w:r>
      <w:r w:rsidRPr="00CD370E">
        <w:rPr>
          <w:rFonts w:ascii="Verdana" w:eastAsia="Times New Roman" w:hAnsi="Verdana" w:cs="Times New Roman"/>
          <w:b/>
          <w:bCs/>
          <w:color w:val="333333"/>
          <w:sz w:val="24"/>
          <w:szCs w:val="24"/>
        </w:rPr>
        <w:t>general</w:t>
      </w:r>
      <w:r w:rsidRPr="00CD370E">
        <w:rPr>
          <w:rFonts w:ascii="Verdana" w:eastAsia="Times New Roman" w:hAnsi="Verdana" w:cs="Times New Roman"/>
          <w:color w:val="333333"/>
          <w:sz w:val="24"/>
          <w:szCs w:val="24"/>
        </w:rPr>
        <w:t xml:space="preserve"> For</w:t>
      </w:r>
      <w:r w:rsidRPr="00CD370E">
        <w:rPr>
          <w:rFonts w:ascii="Verdana" w:eastAsia="Times New Roman" w:hAnsi="Verdana" w:cs="Times New Roman"/>
          <w:color w:val="333333"/>
          <w:sz w:val="24"/>
          <w:szCs w:val="24"/>
        </w:rPr>
        <w:t xml:space="preserve"> purposes of this section, the term “</w:t>
      </w:r>
      <w:hyperlink r:id="rId15" w:history="1">
        <w:r w:rsidRPr="00CD370E">
          <w:rPr>
            <w:rFonts w:ascii="Verdana" w:eastAsia="Times New Roman" w:hAnsi="Verdana" w:cs="Times New Roman"/>
            <w:color w:val="0068AC"/>
            <w:sz w:val="24"/>
            <w:szCs w:val="24"/>
            <w:u w:val="single"/>
          </w:rPr>
          <w:t>hedging transaction</w:t>
        </w:r>
      </w:hyperlink>
      <w:r w:rsidRPr="00CD370E">
        <w:rPr>
          <w:rFonts w:ascii="Verdana" w:eastAsia="Times New Roman" w:hAnsi="Verdana" w:cs="Times New Roman"/>
          <w:color w:val="333333"/>
          <w:sz w:val="24"/>
          <w:szCs w:val="24"/>
        </w:rPr>
        <w:t>” means any transaction entered into by the taxpayer in the normal course of the taxpayer’s trade or business primarily—</w:t>
      </w:r>
    </w:p>
    <w:p w14:paraId="65C8435B"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27" w:name="b_2_A_i"/>
      <w:bookmarkEnd w:id="27"/>
      <w:r w:rsidRPr="00CD370E">
        <w:rPr>
          <w:rFonts w:ascii="Verdana" w:eastAsia="Times New Roman" w:hAnsi="Verdana" w:cs="Times New Roman"/>
          <w:b/>
          <w:bCs/>
          <w:color w:val="333333"/>
          <w:sz w:val="24"/>
          <w:szCs w:val="24"/>
        </w:rPr>
        <w:t>(</w:t>
      </w:r>
      <w:proofErr w:type="spellStart"/>
      <w:r w:rsidRPr="00CD370E">
        <w:rPr>
          <w:rFonts w:ascii="Verdana" w:eastAsia="Times New Roman" w:hAnsi="Verdana" w:cs="Times New Roman"/>
          <w:b/>
          <w:bCs/>
          <w:color w:val="333333"/>
          <w:sz w:val="24"/>
          <w:szCs w:val="24"/>
        </w:rPr>
        <w:t>i</w:t>
      </w:r>
      <w:proofErr w:type="spellEnd"/>
      <w:r w:rsidRPr="00CD370E">
        <w:rPr>
          <w:rFonts w:ascii="Verdana" w:eastAsia="Times New Roman" w:hAnsi="Verdana" w:cs="Times New Roman"/>
          <w:b/>
          <w:bCs/>
          <w:color w:val="333333"/>
          <w:sz w:val="24"/>
          <w:szCs w:val="24"/>
        </w:rPr>
        <w:t>)</w:t>
      </w:r>
    </w:p>
    <w:p w14:paraId="4ECCE761"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to manage risk of price changes or currency fluctuations with respect to ordinary property which is held or to be held by the taxpayer,</w:t>
      </w:r>
    </w:p>
    <w:p w14:paraId="25D54E9B"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28" w:name="b_2_A_ii"/>
      <w:bookmarkEnd w:id="28"/>
      <w:r w:rsidRPr="00CD370E">
        <w:rPr>
          <w:rFonts w:ascii="Verdana" w:eastAsia="Times New Roman" w:hAnsi="Verdana" w:cs="Times New Roman"/>
          <w:b/>
          <w:bCs/>
          <w:color w:val="333333"/>
          <w:sz w:val="24"/>
          <w:szCs w:val="24"/>
        </w:rPr>
        <w:t>(ii)</w:t>
      </w:r>
    </w:p>
    <w:p w14:paraId="03354609"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lastRenderedPageBreak/>
        <w:t>to manage risk of interest rate or price changes or currency fluctuations with respect to borrowings made or to be made, or ordinary obligations incurred or to be incurred, by the taxpayer, or</w:t>
      </w:r>
    </w:p>
    <w:p w14:paraId="2DCC83D0"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29" w:name="b_2_A_iii"/>
      <w:bookmarkEnd w:id="29"/>
      <w:r w:rsidRPr="00CD370E">
        <w:rPr>
          <w:rFonts w:ascii="Verdana" w:eastAsia="Times New Roman" w:hAnsi="Verdana" w:cs="Times New Roman"/>
          <w:b/>
          <w:bCs/>
          <w:color w:val="333333"/>
          <w:sz w:val="24"/>
          <w:szCs w:val="24"/>
        </w:rPr>
        <w:t>(iii)</w:t>
      </w:r>
    </w:p>
    <w:p w14:paraId="19E9936A"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to manage such other risks as the Secretary may prescribe in regulations.</w:t>
      </w:r>
    </w:p>
    <w:p w14:paraId="30C9139D" w14:textId="52005419"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30" w:name="b_2_B"/>
      <w:bookmarkEnd w:id="30"/>
      <w:r w:rsidRPr="00CD370E">
        <w:rPr>
          <w:rFonts w:ascii="Verdana" w:eastAsia="Times New Roman" w:hAnsi="Verdana" w:cs="Times New Roman"/>
          <w:b/>
          <w:bCs/>
          <w:color w:val="333333"/>
          <w:sz w:val="24"/>
          <w:szCs w:val="24"/>
        </w:rPr>
        <w:t xml:space="preserve">(B)Treatment of nonidentification or improper identification of hedging </w:t>
      </w:r>
      <w:r w:rsidRPr="00CD370E">
        <w:rPr>
          <w:rFonts w:ascii="Verdana" w:eastAsia="Times New Roman" w:hAnsi="Verdana" w:cs="Times New Roman"/>
          <w:b/>
          <w:bCs/>
          <w:color w:val="333333"/>
          <w:sz w:val="24"/>
          <w:szCs w:val="24"/>
        </w:rPr>
        <w:t>transactions</w:t>
      </w:r>
      <w:r w:rsidRPr="00CD370E">
        <w:rPr>
          <w:rFonts w:ascii="Verdana" w:eastAsia="Times New Roman" w:hAnsi="Verdana" w:cs="Times New Roman"/>
          <w:color w:val="333333"/>
          <w:sz w:val="24"/>
          <w:szCs w:val="24"/>
        </w:rPr>
        <w:t xml:space="preserve"> Notwithstanding</w:t>
      </w:r>
      <w:r w:rsidRPr="00CD370E">
        <w:rPr>
          <w:rFonts w:ascii="Verdana" w:eastAsia="Times New Roman" w:hAnsi="Verdana" w:cs="Times New Roman"/>
          <w:color w:val="333333"/>
          <w:sz w:val="24"/>
          <w:szCs w:val="24"/>
        </w:rPr>
        <w:t xml:space="preserve"> subsection (a)(7), the Secretary shall prescribe regulations to properly characterize any income, gain, expense, or loss arising from a transaction—</w:t>
      </w:r>
    </w:p>
    <w:p w14:paraId="2D023A2A"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31" w:name="b_2_B_i"/>
      <w:bookmarkEnd w:id="31"/>
      <w:r w:rsidRPr="00CD370E">
        <w:rPr>
          <w:rFonts w:ascii="Verdana" w:eastAsia="Times New Roman" w:hAnsi="Verdana" w:cs="Times New Roman"/>
          <w:b/>
          <w:bCs/>
          <w:color w:val="333333"/>
          <w:sz w:val="24"/>
          <w:szCs w:val="24"/>
        </w:rPr>
        <w:t>(</w:t>
      </w:r>
      <w:proofErr w:type="spellStart"/>
      <w:r w:rsidRPr="00CD370E">
        <w:rPr>
          <w:rFonts w:ascii="Verdana" w:eastAsia="Times New Roman" w:hAnsi="Verdana" w:cs="Times New Roman"/>
          <w:b/>
          <w:bCs/>
          <w:color w:val="333333"/>
          <w:sz w:val="24"/>
          <w:szCs w:val="24"/>
        </w:rPr>
        <w:t>i</w:t>
      </w:r>
      <w:proofErr w:type="spellEnd"/>
      <w:r w:rsidRPr="00CD370E">
        <w:rPr>
          <w:rFonts w:ascii="Verdana" w:eastAsia="Times New Roman" w:hAnsi="Verdana" w:cs="Times New Roman"/>
          <w:b/>
          <w:bCs/>
          <w:color w:val="333333"/>
          <w:sz w:val="24"/>
          <w:szCs w:val="24"/>
        </w:rPr>
        <w:t>)</w:t>
      </w:r>
    </w:p>
    <w:p w14:paraId="497E25B7"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which is a </w:t>
      </w:r>
      <w:hyperlink r:id="rId16" w:history="1">
        <w:r w:rsidRPr="00CD370E">
          <w:rPr>
            <w:rFonts w:ascii="Verdana" w:eastAsia="Times New Roman" w:hAnsi="Verdana" w:cs="Times New Roman"/>
            <w:color w:val="0068AC"/>
            <w:sz w:val="24"/>
            <w:szCs w:val="24"/>
            <w:u w:val="single"/>
          </w:rPr>
          <w:t>hedging transaction</w:t>
        </w:r>
      </w:hyperlink>
      <w:r w:rsidRPr="00CD370E">
        <w:rPr>
          <w:rFonts w:ascii="Verdana" w:eastAsia="Times New Roman" w:hAnsi="Verdana" w:cs="Times New Roman"/>
          <w:color w:val="333333"/>
          <w:sz w:val="24"/>
          <w:szCs w:val="24"/>
        </w:rPr>
        <w:t> but which was not identified as such in accordance with subsection (a)(7), or</w:t>
      </w:r>
    </w:p>
    <w:p w14:paraId="0779A9C3" w14:textId="7777777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32" w:name="b_2_B_ii"/>
      <w:bookmarkEnd w:id="32"/>
      <w:r w:rsidRPr="00CD370E">
        <w:rPr>
          <w:rFonts w:ascii="Verdana" w:eastAsia="Times New Roman" w:hAnsi="Verdana" w:cs="Times New Roman"/>
          <w:b/>
          <w:bCs/>
          <w:color w:val="333333"/>
          <w:sz w:val="24"/>
          <w:szCs w:val="24"/>
        </w:rPr>
        <w:t>(ii)</w:t>
      </w:r>
    </w:p>
    <w:p w14:paraId="61724DDE"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which was so identified but is not a </w:t>
      </w:r>
      <w:hyperlink r:id="rId17" w:history="1">
        <w:r w:rsidRPr="00CD370E">
          <w:rPr>
            <w:rFonts w:ascii="Verdana" w:eastAsia="Times New Roman" w:hAnsi="Verdana" w:cs="Times New Roman"/>
            <w:color w:val="0068AC"/>
            <w:sz w:val="24"/>
            <w:szCs w:val="24"/>
            <w:u w:val="single"/>
          </w:rPr>
          <w:t>hedging transaction</w:t>
        </w:r>
      </w:hyperlink>
      <w:r w:rsidRPr="00CD370E">
        <w:rPr>
          <w:rFonts w:ascii="Verdana" w:eastAsia="Times New Roman" w:hAnsi="Verdana" w:cs="Times New Roman"/>
          <w:color w:val="333333"/>
          <w:sz w:val="24"/>
          <w:szCs w:val="24"/>
        </w:rPr>
        <w:t>.</w:t>
      </w:r>
    </w:p>
    <w:p w14:paraId="7922280B" w14:textId="09573268"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33" w:name="b_3"/>
      <w:bookmarkEnd w:id="33"/>
      <w:r w:rsidRPr="00CD370E">
        <w:rPr>
          <w:rFonts w:ascii="Verdana" w:eastAsia="Times New Roman" w:hAnsi="Verdana" w:cs="Times New Roman"/>
          <w:b/>
          <w:bCs/>
          <w:color w:val="333333"/>
          <w:sz w:val="24"/>
          <w:szCs w:val="24"/>
        </w:rPr>
        <w:t>(3)</w:t>
      </w:r>
      <w:r>
        <w:rPr>
          <w:rFonts w:ascii="Verdana" w:eastAsia="Times New Roman" w:hAnsi="Verdana" w:cs="Times New Roman"/>
          <w:b/>
          <w:bCs/>
          <w:color w:val="333333"/>
          <w:sz w:val="24"/>
          <w:szCs w:val="24"/>
        </w:rPr>
        <w:t xml:space="preserve"> </w:t>
      </w:r>
      <w:r w:rsidRPr="00CD370E">
        <w:rPr>
          <w:rFonts w:ascii="Verdana" w:eastAsia="Times New Roman" w:hAnsi="Verdana" w:cs="Times New Roman"/>
          <w:b/>
          <w:bCs/>
          <w:smallCaps/>
          <w:color w:val="333333"/>
          <w:sz w:val="24"/>
          <w:szCs w:val="24"/>
        </w:rPr>
        <w:t>Sale or exchange of self-created musical works</w:t>
      </w:r>
    </w:p>
    <w:p w14:paraId="2E672B81" w14:textId="77777777" w:rsidR="00CD370E" w:rsidRPr="00CD370E" w:rsidRDefault="00CD370E" w:rsidP="00CD370E">
      <w:pPr>
        <w:shd w:val="clear" w:color="auto" w:fill="FFFFFF"/>
        <w:spacing w:after="15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At the election of the taxpayer, paragraphs (1) and (3) of subsection (a) shall not apply to musical compositions or copyrights in musical works sold or exchanged by a taxpayer described in subsection (a)(3).</w:t>
      </w:r>
    </w:p>
    <w:p w14:paraId="46FCB0EE" w14:textId="71357607" w:rsidR="00CD370E" w:rsidRPr="00CD370E" w:rsidRDefault="00CD370E" w:rsidP="00CD370E">
      <w:pPr>
        <w:shd w:val="clear" w:color="auto" w:fill="FFFFFF"/>
        <w:spacing w:after="0" w:line="240" w:lineRule="auto"/>
        <w:rPr>
          <w:rFonts w:ascii="Verdana" w:eastAsia="Times New Roman" w:hAnsi="Verdana" w:cs="Times New Roman"/>
          <w:color w:val="333333"/>
          <w:sz w:val="24"/>
          <w:szCs w:val="24"/>
        </w:rPr>
      </w:pPr>
      <w:bookmarkStart w:id="34" w:name="b_4"/>
      <w:bookmarkEnd w:id="34"/>
      <w:r w:rsidRPr="00CD370E">
        <w:rPr>
          <w:rFonts w:ascii="Verdana" w:eastAsia="Times New Roman" w:hAnsi="Verdana" w:cs="Times New Roman"/>
          <w:b/>
          <w:bCs/>
          <w:color w:val="333333"/>
          <w:sz w:val="24"/>
          <w:szCs w:val="24"/>
        </w:rPr>
        <w:t>(4)</w:t>
      </w:r>
      <w:r>
        <w:rPr>
          <w:rFonts w:ascii="Verdana" w:eastAsia="Times New Roman" w:hAnsi="Verdana" w:cs="Times New Roman"/>
          <w:b/>
          <w:bCs/>
          <w:color w:val="333333"/>
          <w:sz w:val="24"/>
          <w:szCs w:val="24"/>
        </w:rPr>
        <w:t xml:space="preserve"> </w:t>
      </w:r>
      <w:r w:rsidRPr="00CD370E">
        <w:rPr>
          <w:rFonts w:ascii="Verdana" w:eastAsia="Times New Roman" w:hAnsi="Verdana" w:cs="Times New Roman"/>
          <w:b/>
          <w:bCs/>
          <w:smallCaps/>
          <w:color w:val="333333"/>
          <w:sz w:val="24"/>
          <w:szCs w:val="24"/>
        </w:rPr>
        <w:t>Regulations</w:t>
      </w:r>
    </w:p>
    <w:p w14:paraId="671C75B9" w14:textId="77777777" w:rsidR="00CD370E" w:rsidRPr="00CD370E" w:rsidRDefault="00CD370E" w:rsidP="00CD370E">
      <w:pPr>
        <w:shd w:val="clear" w:color="auto" w:fill="FFFFFF"/>
        <w:spacing w:after="15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The Secretary shall prescribe such regulations as are appropriate to carry out the purposes of paragraph (6) and (7) of subsection (a) in the case of transactions involving related parties.</w:t>
      </w:r>
    </w:p>
    <w:p w14:paraId="49DD1D30" w14:textId="77777777" w:rsidR="00CD370E" w:rsidRPr="00CD370E" w:rsidRDefault="00CD370E" w:rsidP="00CD370E">
      <w:pPr>
        <w:shd w:val="clear" w:color="auto" w:fill="FFFFFF"/>
        <w:spacing w:after="60" w:line="240" w:lineRule="auto"/>
        <w:rPr>
          <w:rFonts w:ascii="Verdana" w:eastAsia="Times New Roman" w:hAnsi="Verdana" w:cs="Times New Roman"/>
          <w:color w:val="333333"/>
          <w:sz w:val="24"/>
          <w:szCs w:val="24"/>
        </w:rPr>
      </w:pPr>
      <w:r w:rsidRPr="00CD370E">
        <w:rPr>
          <w:rFonts w:ascii="Verdana" w:eastAsia="Times New Roman" w:hAnsi="Verdana" w:cs="Times New Roman"/>
          <w:color w:val="333333"/>
          <w:sz w:val="24"/>
          <w:szCs w:val="24"/>
        </w:rPr>
        <w:t xml:space="preserve">(Aug. 16, 1954, </w:t>
      </w:r>
      <w:proofErr w:type="spellStart"/>
      <w:r w:rsidRPr="00CD370E">
        <w:rPr>
          <w:rFonts w:ascii="Verdana" w:eastAsia="Times New Roman" w:hAnsi="Verdana" w:cs="Times New Roman"/>
          <w:color w:val="333333"/>
          <w:sz w:val="24"/>
          <w:szCs w:val="24"/>
        </w:rPr>
        <w:t>ch.</w:t>
      </w:r>
      <w:proofErr w:type="spellEnd"/>
      <w:r w:rsidRPr="00CD370E">
        <w:rPr>
          <w:rFonts w:ascii="Verdana" w:eastAsia="Times New Roman" w:hAnsi="Verdana" w:cs="Times New Roman"/>
          <w:color w:val="333333"/>
          <w:sz w:val="24"/>
          <w:szCs w:val="24"/>
        </w:rPr>
        <w:t xml:space="preserve"> 736, </w:t>
      </w:r>
      <w:hyperlink r:id="rId18" w:history="1">
        <w:r w:rsidRPr="00CD370E">
          <w:rPr>
            <w:rFonts w:ascii="Verdana" w:eastAsia="Times New Roman" w:hAnsi="Verdana" w:cs="Times New Roman"/>
            <w:color w:val="0068AC"/>
            <w:sz w:val="24"/>
            <w:szCs w:val="24"/>
            <w:u w:val="single"/>
          </w:rPr>
          <w:t>68A Stat. 321</w:t>
        </w:r>
      </w:hyperlink>
      <w:r w:rsidRPr="00CD370E">
        <w:rPr>
          <w:rFonts w:ascii="Verdana" w:eastAsia="Times New Roman" w:hAnsi="Verdana" w:cs="Times New Roman"/>
          <w:color w:val="333333"/>
          <w:sz w:val="24"/>
          <w:szCs w:val="24"/>
        </w:rPr>
        <w:t>; </w:t>
      </w:r>
      <w:hyperlink r:id="rId19" w:history="1">
        <w:r w:rsidRPr="00CD370E">
          <w:rPr>
            <w:rFonts w:ascii="Verdana" w:eastAsia="Times New Roman" w:hAnsi="Verdana" w:cs="Times New Roman"/>
            <w:color w:val="0068AC"/>
            <w:sz w:val="24"/>
            <w:szCs w:val="24"/>
            <w:u w:val="single"/>
          </w:rPr>
          <w:t>Pub. L. 91–172, title V, § 514(a)</w:t>
        </w:r>
      </w:hyperlink>
      <w:r w:rsidRPr="00CD370E">
        <w:rPr>
          <w:rFonts w:ascii="Verdana" w:eastAsia="Times New Roman" w:hAnsi="Verdana" w:cs="Times New Roman"/>
          <w:color w:val="333333"/>
          <w:sz w:val="24"/>
          <w:szCs w:val="24"/>
        </w:rPr>
        <w:t>, Dec. 30, 1969, </w:t>
      </w:r>
      <w:hyperlink r:id="rId20" w:history="1">
        <w:r w:rsidRPr="00CD370E">
          <w:rPr>
            <w:rFonts w:ascii="Verdana" w:eastAsia="Times New Roman" w:hAnsi="Verdana" w:cs="Times New Roman"/>
            <w:color w:val="0068AC"/>
            <w:sz w:val="24"/>
            <w:szCs w:val="24"/>
            <w:u w:val="single"/>
          </w:rPr>
          <w:t>83 Stat. 643</w:t>
        </w:r>
      </w:hyperlink>
      <w:r w:rsidRPr="00CD370E">
        <w:rPr>
          <w:rFonts w:ascii="Verdana" w:eastAsia="Times New Roman" w:hAnsi="Verdana" w:cs="Times New Roman"/>
          <w:color w:val="333333"/>
          <w:sz w:val="24"/>
          <w:szCs w:val="24"/>
        </w:rPr>
        <w:t>; </w:t>
      </w:r>
      <w:hyperlink r:id="rId21" w:history="1">
        <w:r w:rsidRPr="00CD370E">
          <w:rPr>
            <w:rFonts w:ascii="Verdana" w:eastAsia="Times New Roman" w:hAnsi="Verdana" w:cs="Times New Roman"/>
            <w:color w:val="0068AC"/>
            <w:sz w:val="24"/>
            <w:szCs w:val="24"/>
            <w:u w:val="single"/>
          </w:rPr>
          <w:t>Pub. L. 94–455, title XIX, § 1901(c)(9)</w:t>
        </w:r>
      </w:hyperlink>
      <w:r w:rsidRPr="00CD370E">
        <w:rPr>
          <w:rFonts w:ascii="Verdana" w:eastAsia="Times New Roman" w:hAnsi="Verdana" w:cs="Times New Roman"/>
          <w:color w:val="333333"/>
          <w:sz w:val="24"/>
          <w:szCs w:val="24"/>
        </w:rPr>
        <w:t>, title XXI, § 2132(a), Oct. 4, 1976, </w:t>
      </w:r>
      <w:hyperlink r:id="rId22" w:history="1">
        <w:r w:rsidRPr="00CD370E">
          <w:rPr>
            <w:rFonts w:ascii="Verdana" w:eastAsia="Times New Roman" w:hAnsi="Verdana" w:cs="Times New Roman"/>
            <w:color w:val="0068AC"/>
            <w:sz w:val="24"/>
            <w:szCs w:val="24"/>
            <w:u w:val="single"/>
          </w:rPr>
          <w:t>90 Stat. 1803</w:t>
        </w:r>
      </w:hyperlink>
      <w:r w:rsidRPr="00CD370E">
        <w:rPr>
          <w:rFonts w:ascii="Verdana" w:eastAsia="Times New Roman" w:hAnsi="Verdana" w:cs="Times New Roman"/>
          <w:color w:val="333333"/>
          <w:sz w:val="24"/>
          <w:szCs w:val="24"/>
        </w:rPr>
        <w:t>, 1925; </w:t>
      </w:r>
      <w:hyperlink r:id="rId23" w:history="1">
        <w:r w:rsidRPr="00CD370E">
          <w:rPr>
            <w:rFonts w:ascii="Verdana" w:eastAsia="Times New Roman" w:hAnsi="Verdana" w:cs="Times New Roman"/>
            <w:color w:val="0068AC"/>
            <w:sz w:val="24"/>
            <w:szCs w:val="24"/>
            <w:u w:val="single"/>
          </w:rPr>
          <w:t>Pub. L. 97–34, title V, § 505(a)</w:t>
        </w:r>
      </w:hyperlink>
      <w:r w:rsidRPr="00CD370E">
        <w:rPr>
          <w:rFonts w:ascii="Verdana" w:eastAsia="Times New Roman" w:hAnsi="Verdana" w:cs="Times New Roman"/>
          <w:color w:val="333333"/>
          <w:sz w:val="24"/>
          <w:szCs w:val="24"/>
        </w:rPr>
        <w:t>, Aug. 13, 1981, </w:t>
      </w:r>
      <w:hyperlink r:id="rId24" w:history="1">
        <w:r w:rsidRPr="00CD370E">
          <w:rPr>
            <w:rFonts w:ascii="Verdana" w:eastAsia="Times New Roman" w:hAnsi="Verdana" w:cs="Times New Roman"/>
            <w:color w:val="0068AC"/>
            <w:sz w:val="24"/>
            <w:szCs w:val="24"/>
            <w:u w:val="single"/>
          </w:rPr>
          <w:t>95 Stat. 331</w:t>
        </w:r>
      </w:hyperlink>
      <w:r w:rsidRPr="00CD370E">
        <w:rPr>
          <w:rFonts w:ascii="Verdana" w:eastAsia="Times New Roman" w:hAnsi="Verdana" w:cs="Times New Roman"/>
          <w:color w:val="333333"/>
          <w:sz w:val="24"/>
          <w:szCs w:val="24"/>
        </w:rPr>
        <w:t>; </w:t>
      </w:r>
      <w:hyperlink r:id="rId25" w:history="1">
        <w:r w:rsidRPr="00CD370E">
          <w:rPr>
            <w:rFonts w:ascii="Verdana" w:eastAsia="Times New Roman" w:hAnsi="Verdana" w:cs="Times New Roman"/>
            <w:color w:val="0068AC"/>
            <w:sz w:val="24"/>
            <w:szCs w:val="24"/>
            <w:u w:val="single"/>
          </w:rPr>
          <w:t>Pub. L. 106–170, title V, § 532(a)</w:t>
        </w:r>
      </w:hyperlink>
      <w:r w:rsidRPr="00CD370E">
        <w:rPr>
          <w:rFonts w:ascii="Verdana" w:eastAsia="Times New Roman" w:hAnsi="Verdana" w:cs="Times New Roman"/>
          <w:color w:val="333333"/>
          <w:sz w:val="24"/>
          <w:szCs w:val="24"/>
        </w:rPr>
        <w:t>, Dec. 17, 1999, </w:t>
      </w:r>
      <w:hyperlink r:id="rId26" w:history="1">
        <w:r w:rsidRPr="00CD370E">
          <w:rPr>
            <w:rFonts w:ascii="Verdana" w:eastAsia="Times New Roman" w:hAnsi="Verdana" w:cs="Times New Roman"/>
            <w:color w:val="0068AC"/>
            <w:sz w:val="24"/>
            <w:szCs w:val="24"/>
            <w:u w:val="single"/>
          </w:rPr>
          <w:t>113 Stat. 1928</w:t>
        </w:r>
      </w:hyperlink>
      <w:r w:rsidRPr="00CD370E">
        <w:rPr>
          <w:rFonts w:ascii="Verdana" w:eastAsia="Times New Roman" w:hAnsi="Verdana" w:cs="Times New Roman"/>
          <w:color w:val="333333"/>
          <w:sz w:val="24"/>
          <w:szCs w:val="24"/>
        </w:rPr>
        <w:t>; </w:t>
      </w:r>
      <w:hyperlink r:id="rId27" w:history="1">
        <w:r w:rsidRPr="00CD370E">
          <w:rPr>
            <w:rFonts w:ascii="Verdana" w:eastAsia="Times New Roman" w:hAnsi="Verdana" w:cs="Times New Roman"/>
            <w:color w:val="0068AC"/>
            <w:sz w:val="24"/>
            <w:szCs w:val="24"/>
            <w:u w:val="single"/>
          </w:rPr>
          <w:t>Pub. L. 107–16, title V, § 542(e)(2)(A)</w:t>
        </w:r>
      </w:hyperlink>
      <w:r w:rsidRPr="00CD370E">
        <w:rPr>
          <w:rFonts w:ascii="Verdana" w:eastAsia="Times New Roman" w:hAnsi="Verdana" w:cs="Times New Roman"/>
          <w:color w:val="333333"/>
          <w:sz w:val="24"/>
          <w:szCs w:val="24"/>
        </w:rPr>
        <w:t>, June 7, 2001, </w:t>
      </w:r>
      <w:hyperlink r:id="rId28" w:history="1">
        <w:r w:rsidRPr="00CD370E">
          <w:rPr>
            <w:rFonts w:ascii="Verdana" w:eastAsia="Times New Roman" w:hAnsi="Verdana" w:cs="Times New Roman"/>
            <w:color w:val="0068AC"/>
            <w:sz w:val="24"/>
            <w:szCs w:val="24"/>
            <w:u w:val="single"/>
          </w:rPr>
          <w:t>115 Stat. 85</w:t>
        </w:r>
      </w:hyperlink>
      <w:r w:rsidRPr="00CD370E">
        <w:rPr>
          <w:rFonts w:ascii="Verdana" w:eastAsia="Times New Roman" w:hAnsi="Verdana" w:cs="Times New Roman"/>
          <w:color w:val="333333"/>
          <w:sz w:val="24"/>
          <w:szCs w:val="24"/>
        </w:rPr>
        <w:t>; </w:t>
      </w:r>
      <w:hyperlink r:id="rId29" w:history="1">
        <w:r w:rsidRPr="00CD370E">
          <w:rPr>
            <w:rFonts w:ascii="Verdana" w:eastAsia="Times New Roman" w:hAnsi="Verdana" w:cs="Times New Roman"/>
            <w:color w:val="0068AC"/>
            <w:sz w:val="24"/>
            <w:szCs w:val="24"/>
            <w:u w:val="single"/>
          </w:rPr>
          <w:t>Pub. L. 107–147, title IV, § 417(20)</w:t>
        </w:r>
      </w:hyperlink>
      <w:r w:rsidRPr="00CD370E">
        <w:rPr>
          <w:rFonts w:ascii="Verdana" w:eastAsia="Times New Roman" w:hAnsi="Verdana" w:cs="Times New Roman"/>
          <w:color w:val="333333"/>
          <w:sz w:val="24"/>
          <w:szCs w:val="24"/>
        </w:rPr>
        <w:t>, Mar. 9, 2002, </w:t>
      </w:r>
      <w:hyperlink r:id="rId30" w:history="1">
        <w:r w:rsidRPr="00CD370E">
          <w:rPr>
            <w:rFonts w:ascii="Verdana" w:eastAsia="Times New Roman" w:hAnsi="Verdana" w:cs="Times New Roman"/>
            <w:color w:val="0068AC"/>
            <w:sz w:val="24"/>
            <w:szCs w:val="24"/>
            <w:u w:val="single"/>
          </w:rPr>
          <w:t>116 Stat. 57</w:t>
        </w:r>
      </w:hyperlink>
      <w:r w:rsidRPr="00CD370E">
        <w:rPr>
          <w:rFonts w:ascii="Verdana" w:eastAsia="Times New Roman" w:hAnsi="Verdana" w:cs="Times New Roman"/>
          <w:color w:val="333333"/>
          <w:sz w:val="24"/>
          <w:szCs w:val="24"/>
        </w:rPr>
        <w:t>; </w:t>
      </w:r>
      <w:hyperlink r:id="rId31" w:history="1">
        <w:r w:rsidRPr="00CD370E">
          <w:rPr>
            <w:rFonts w:ascii="Verdana" w:eastAsia="Times New Roman" w:hAnsi="Verdana" w:cs="Times New Roman"/>
            <w:color w:val="0068AC"/>
            <w:sz w:val="24"/>
            <w:szCs w:val="24"/>
            <w:u w:val="single"/>
          </w:rPr>
          <w:t>Pub. L. 109–222, title II, § 204(a)</w:t>
        </w:r>
      </w:hyperlink>
      <w:r w:rsidRPr="00CD370E">
        <w:rPr>
          <w:rFonts w:ascii="Verdana" w:eastAsia="Times New Roman" w:hAnsi="Verdana" w:cs="Times New Roman"/>
          <w:color w:val="333333"/>
          <w:sz w:val="24"/>
          <w:szCs w:val="24"/>
        </w:rPr>
        <w:t>, May 17, 2006, </w:t>
      </w:r>
      <w:hyperlink r:id="rId32" w:history="1">
        <w:r w:rsidRPr="00CD370E">
          <w:rPr>
            <w:rFonts w:ascii="Verdana" w:eastAsia="Times New Roman" w:hAnsi="Verdana" w:cs="Times New Roman"/>
            <w:color w:val="0068AC"/>
            <w:sz w:val="24"/>
            <w:szCs w:val="24"/>
            <w:u w:val="single"/>
          </w:rPr>
          <w:t>120 Stat. 350</w:t>
        </w:r>
      </w:hyperlink>
      <w:r w:rsidRPr="00CD370E">
        <w:rPr>
          <w:rFonts w:ascii="Verdana" w:eastAsia="Times New Roman" w:hAnsi="Verdana" w:cs="Times New Roman"/>
          <w:color w:val="333333"/>
          <w:sz w:val="24"/>
          <w:szCs w:val="24"/>
        </w:rPr>
        <w:t>; </w:t>
      </w:r>
      <w:hyperlink r:id="rId33" w:history="1">
        <w:r w:rsidRPr="00CD370E">
          <w:rPr>
            <w:rFonts w:ascii="Verdana" w:eastAsia="Times New Roman" w:hAnsi="Verdana" w:cs="Times New Roman"/>
            <w:color w:val="0068AC"/>
            <w:sz w:val="24"/>
            <w:szCs w:val="24"/>
            <w:u w:val="single"/>
          </w:rPr>
          <w:t>Pub. L. 109–432, div. A, title IV, § 412(a)</w:t>
        </w:r>
      </w:hyperlink>
      <w:r w:rsidRPr="00CD370E">
        <w:rPr>
          <w:rFonts w:ascii="Verdana" w:eastAsia="Times New Roman" w:hAnsi="Verdana" w:cs="Times New Roman"/>
          <w:color w:val="333333"/>
          <w:sz w:val="24"/>
          <w:szCs w:val="24"/>
        </w:rPr>
        <w:t>, Dec. 20, 2006, </w:t>
      </w:r>
      <w:hyperlink r:id="rId34" w:history="1">
        <w:r w:rsidRPr="00CD370E">
          <w:rPr>
            <w:rFonts w:ascii="Verdana" w:eastAsia="Times New Roman" w:hAnsi="Verdana" w:cs="Times New Roman"/>
            <w:color w:val="0068AC"/>
            <w:sz w:val="24"/>
            <w:szCs w:val="24"/>
            <w:u w:val="single"/>
          </w:rPr>
          <w:t>120 Stat. 2963</w:t>
        </w:r>
      </w:hyperlink>
      <w:r w:rsidRPr="00CD370E">
        <w:rPr>
          <w:rFonts w:ascii="Verdana" w:eastAsia="Times New Roman" w:hAnsi="Verdana" w:cs="Times New Roman"/>
          <w:color w:val="333333"/>
          <w:sz w:val="24"/>
          <w:szCs w:val="24"/>
        </w:rPr>
        <w:t>; </w:t>
      </w:r>
      <w:hyperlink r:id="rId35" w:history="1">
        <w:r w:rsidRPr="00CD370E">
          <w:rPr>
            <w:rFonts w:ascii="Verdana" w:eastAsia="Times New Roman" w:hAnsi="Verdana" w:cs="Times New Roman"/>
            <w:color w:val="0068AC"/>
            <w:sz w:val="24"/>
            <w:szCs w:val="24"/>
            <w:u w:val="single"/>
          </w:rPr>
          <w:t>Pub. L. 111–312, title III, § 301(a)</w:t>
        </w:r>
      </w:hyperlink>
      <w:r w:rsidRPr="00CD370E">
        <w:rPr>
          <w:rFonts w:ascii="Verdana" w:eastAsia="Times New Roman" w:hAnsi="Verdana" w:cs="Times New Roman"/>
          <w:color w:val="333333"/>
          <w:sz w:val="24"/>
          <w:szCs w:val="24"/>
        </w:rPr>
        <w:t>, Dec. 17, 2010, </w:t>
      </w:r>
      <w:hyperlink r:id="rId36" w:history="1">
        <w:r w:rsidRPr="00CD370E">
          <w:rPr>
            <w:rFonts w:ascii="Verdana" w:eastAsia="Times New Roman" w:hAnsi="Verdana" w:cs="Times New Roman"/>
            <w:color w:val="0068AC"/>
            <w:sz w:val="24"/>
            <w:szCs w:val="24"/>
            <w:u w:val="single"/>
          </w:rPr>
          <w:t>124 Stat. 3300</w:t>
        </w:r>
      </w:hyperlink>
      <w:r w:rsidRPr="00CD370E">
        <w:rPr>
          <w:rFonts w:ascii="Verdana" w:eastAsia="Times New Roman" w:hAnsi="Verdana" w:cs="Times New Roman"/>
          <w:color w:val="333333"/>
          <w:sz w:val="24"/>
          <w:szCs w:val="24"/>
        </w:rPr>
        <w:t>; </w:t>
      </w:r>
      <w:hyperlink r:id="rId37" w:history="1">
        <w:r w:rsidRPr="00CD370E">
          <w:rPr>
            <w:rFonts w:ascii="Verdana" w:eastAsia="Times New Roman" w:hAnsi="Verdana" w:cs="Times New Roman"/>
            <w:color w:val="0068AC"/>
            <w:sz w:val="24"/>
            <w:szCs w:val="24"/>
            <w:u w:val="single"/>
          </w:rPr>
          <w:t>Pub. L. 115–97, title I, § 13314(a)</w:t>
        </w:r>
      </w:hyperlink>
      <w:r w:rsidRPr="00CD370E">
        <w:rPr>
          <w:rFonts w:ascii="Verdana" w:eastAsia="Times New Roman" w:hAnsi="Verdana" w:cs="Times New Roman"/>
          <w:color w:val="333333"/>
          <w:sz w:val="24"/>
          <w:szCs w:val="24"/>
        </w:rPr>
        <w:t>, Dec. 22, 2017, </w:t>
      </w:r>
      <w:hyperlink r:id="rId38" w:history="1">
        <w:r w:rsidRPr="00CD370E">
          <w:rPr>
            <w:rFonts w:ascii="Verdana" w:eastAsia="Times New Roman" w:hAnsi="Verdana" w:cs="Times New Roman"/>
            <w:color w:val="0068AC"/>
            <w:sz w:val="24"/>
            <w:szCs w:val="24"/>
            <w:u w:val="single"/>
          </w:rPr>
          <w:t>131 Stat. 2133</w:t>
        </w:r>
      </w:hyperlink>
      <w:r w:rsidRPr="00CD370E">
        <w:rPr>
          <w:rFonts w:ascii="Verdana" w:eastAsia="Times New Roman" w:hAnsi="Verdana" w:cs="Times New Roman"/>
          <w:color w:val="333333"/>
          <w:sz w:val="24"/>
          <w:szCs w:val="24"/>
        </w:rPr>
        <w:t>.)</w:t>
      </w:r>
    </w:p>
    <w:p w14:paraId="61D28191" w14:textId="77777777" w:rsidR="007307E7" w:rsidRDefault="007307E7"/>
    <w:sectPr w:rsidR="007307E7" w:rsidSect="00CD370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E073B6"/>
    <w:multiLevelType w:val="multilevel"/>
    <w:tmpl w:val="9CD0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70E"/>
    <w:rsid w:val="007307E7"/>
    <w:rsid w:val="00CD3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C3A7"/>
  <w15:chartTrackingRefBased/>
  <w15:docId w15:val="{B199DAA4-C625-45AF-8E97-C4560EB03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D370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70E"/>
    <w:rPr>
      <w:rFonts w:ascii="Times New Roman" w:eastAsia="Times New Roman" w:hAnsi="Times New Roman" w:cs="Times New Roman"/>
      <w:b/>
      <w:bCs/>
      <w:kern w:val="36"/>
      <w:sz w:val="48"/>
      <w:szCs w:val="48"/>
    </w:rPr>
  </w:style>
  <w:style w:type="paragraph" w:customStyle="1" w:styleId="active">
    <w:name w:val="active"/>
    <w:basedOn w:val="Normal"/>
    <w:rsid w:val="00CD370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D370E"/>
    <w:rPr>
      <w:color w:val="0000FF"/>
      <w:u w:val="single"/>
    </w:rPr>
  </w:style>
  <w:style w:type="character" w:customStyle="1" w:styleId="num">
    <w:name w:val="num"/>
    <w:basedOn w:val="DefaultParagraphFont"/>
    <w:rsid w:val="00CD370E"/>
  </w:style>
  <w:style w:type="character" w:customStyle="1" w:styleId="heading">
    <w:name w:val="heading"/>
    <w:basedOn w:val="DefaultParagraphFont"/>
    <w:rsid w:val="00CD370E"/>
  </w:style>
  <w:style w:type="character" w:customStyle="1" w:styleId="chapeau">
    <w:name w:val="chapeau"/>
    <w:basedOn w:val="DefaultParagraphFont"/>
    <w:rsid w:val="00CD370E"/>
  </w:style>
  <w:style w:type="paragraph" w:styleId="NormalWeb">
    <w:name w:val="Normal (Web)"/>
    <w:basedOn w:val="Normal"/>
    <w:uiPriority w:val="99"/>
    <w:semiHidden/>
    <w:unhideWhenUsed/>
    <w:rsid w:val="00CD37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e">
    <w:name w:val="date"/>
    <w:basedOn w:val="DefaultParagraphFont"/>
    <w:rsid w:val="00CD3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263710">
      <w:bodyDiv w:val="1"/>
      <w:marLeft w:val="0"/>
      <w:marRight w:val="0"/>
      <w:marTop w:val="0"/>
      <w:marBottom w:val="0"/>
      <w:divBdr>
        <w:top w:val="none" w:sz="0" w:space="0" w:color="auto"/>
        <w:left w:val="none" w:sz="0" w:space="0" w:color="auto"/>
        <w:bottom w:val="none" w:sz="0" w:space="0" w:color="auto"/>
        <w:right w:val="none" w:sz="0" w:space="0" w:color="auto"/>
      </w:divBdr>
      <w:divsChild>
        <w:div w:id="586236558">
          <w:marLeft w:val="0"/>
          <w:marRight w:val="0"/>
          <w:marTop w:val="0"/>
          <w:marBottom w:val="0"/>
          <w:divBdr>
            <w:top w:val="single" w:sz="6" w:space="8" w:color="EEEEEE"/>
            <w:left w:val="single" w:sz="6" w:space="8" w:color="EEEEEE"/>
            <w:bottom w:val="single" w:sz="6" w:space="8" w:color="EEEEEE"/>
            <w:right w:val="single" w:sz="6" w:space="8" w:color="EEEEEE"/>
          </w:divBdr>
          <w:divsChild>
            <w:div w:id="753626194">
              <w:marLeft w:val="0"/>
              <w:marRight w:val="0"/>
              <w:marTop w:val="0"/>
              <w:marBottom w:val="0"/>
              <w:divBdr>
                <w:top w:val="none" w:sz="0" w:space="0" w:color="auto"/>
                <w:left w:val="none" w:sz="0" w:space="0" w:color="auto"/>
                <w:bottom w:val="none" w:sz="0" w:space="0" w:color="auto"/>
                <w:right w:val="none" w:sz="0" w:space="0" w:color="auto"/>
              </w:divBdr>
              <w:divsChild>
                <w:div w:id="362905390">
                  <w:marLeft w:val="0"/>
                  <w:marRight w:val="0"/>
                  <w:marTop w:val="0"/>
                  <w:marBottom w:val="0"/>
                  <w:divBdr>
                    <w:top w:val="single" w:sz="6" w:space="11" w:color="EEEEEE"/>
                    <w:left w:val="none" w:sz="0" w:space="0" w:color="auto"/>
                    <w:bottom w:val="none" w:sz="0" w:space="11" w:color="auto"/>
                    <w:right w:val="none" w:sz="0" w:space="0" w:color="auto"/>
                  </w:divBdr>
                  <w:divsChild>
                    <w:div w:id="694770688">
                      <w:marLeft w:val="0"/>
                      <w:marRight w:val="0"/>
                      <w:marTop w:val="0"/>
                      <w:marBottom w:val="0"/>
                      <w:divBdr>
                        <w:top w:val="none" w:sz="0" w:space="0" w:color="auto"/>
                        <w:left w:val="none" w:sz="0" w:space="0" w:color="auto"/>
                        <w:bottom w:val="none" w:sz="0" w:space="0" w:color="auto"/>
                        <w:right w:val="none" w:sz="0" w:space="0" w:color="auto"/>
                      </w:divBdr>
                      <w:divsChild>
                        <w:div w:id="481778188">
                          <w:marLeft w:val="0"/>
                          <w:marRight w:val="0"/>
                          <w:marTop w:val="0"/>
                          <w:marBottom w:val="0"/>
                          <w:divBdr>
                            <w:top w:val="none" w:sz="0" w:space="0" w:color="auto"/>
                            <w:left w:val="none" w:sz="0" w:space="0" w:color="auto"/>
                            <w:bottom w:val="none" w:sz="0" w:space="0" w:color="auto"/>
                            <w:right w:val="none" w:sz="0" w:space="0" w:color="auto"/>
                          </w:divBdr>
                          <w:divsChild>
                            <w:div w:id="1926262959">
                              <w:marLeft w:val="0"/>
                              <w:marRight w:val="0"/>
                              <w:marTop w:val="240"/>
                              <w:marBottom w:val="60"/>
                              <w:divBdr>
                                <w:top w:val="none" w:sz="0" w:space="0" w:color="auto"/>
                                <w:left w:val="none" w:sz="0" w:space="0" w:color="auto"/>
                                <w:bottom w:val="none" w:sz="0" w:space="0" w:color="auto"/>
                                <w:right w:val="none" w:sz="0" w:space="0" w:color="auto"/>
                              </w:divBdr>
                              <w:divsChild>
                                <w:div w:id="1330403775">
                                  <w:marLeft w:val="240"/>
                                  <w:marRight w:val="0"/>
                                  <w:marTop w:val="60"/>
                                  <w:marBottom w:val="60"/>
                                  <w:divBdr>
                                    <w:top w:val="none" w:sz="0" w:space="0" w:color="auto"/>
                                    <w:left w:val="none" w:sz="0" w:space="0" w:color="auto"/>
                                    <w:bottom w:val="none" w:sz="0" w:space="0" w:color="auto"/>
                                    <w:right w:val="none" w:sz="0" w:space="0" w:color="auto"/>
                                  </w:divBdr>
                                  <w:divsChild>
                                    <w:div w:id="1159466976">
                                      <w:marLeft w:val="240"/>
                                      <w:marRight w:val="0"/>
                                      <w:marTop w:val="60"/>
                                      <w:marBottom w:val="60"/>
                                      <w:divBdr>
                                        <w:top w:val="none" w:sz="0" w:space="0" w:color="auto"/>
                                        <w:left w:val="none" w:sz="0" w:space="0" w:color="auto"/>
                                        <w:bottom w:val="none" w:sz="0" w:space="0" w:color="auto"/>
                                        <w:right w:val="none" w:sz="0" w:space="0" w:color="auto"/>
                                      </w:divBdr>
                                      <w:divsChild>
                                        <w:div w:id="206915891">
                                          <w:marLeft w:val="0"/>
                                          <w:marRight w:val="0"/>
                                          <w:marTop w:val="0"/>
                                          <w:marBottom w:val="0"/>
                                          <w:divBdr>
                                            <w:top w:val="none" w:sz="0" w:space="0" w:color="auto"/>
                                            <w:left w:val="none" w:sz="0" w:space="0" w:color="auto"/>
                                            <w:bottom w:val="none" w:sz="0" w:space="0" w:color="auto"/>
                                            <w:right w:val="none" w:sz="0" w:space="0" w:color="auto"/>
                                          </w:divBdr>
                                        </w:div>
                                      </w:divsChild>
                                    </w:div>
                                    <w:div w:id="1650473631">
                                      <w:marLeft w:val="240"/>
                                      <w:marRight w:val="0"/>
                                      <w:marTop w:val="60"/>
                                      <w:marBottom w:val="60"/>
                                      <w:divBdr>
                                        <w:top w:val="none" w:sz="0" w:space="0" w:color="auto"/>
                                        <w:left w:val="none" w:sz="0" w:space="0" w:color="auto"/>
                                        <w:bottom w:val="none" w:sz="0" w:space="0" w:color="auto"/>
                                        <w:right w:val="none" w:sz="0" w:space="0" w:color="auto"/>
                                      </w:divBdr>
                                      <w:divsChild>
                                        <w:div w:id="539172448">
                                          <w:marLeft w:val="0"/>
                                          <w:marRight w:val="0"/>
                                          <w:marTop w:val="0"/>
                                          <w:marBottom w:val="0"/>
                                          <w:divBdr>
                                            <w:top w:val="none" w:sz="0" w:space="0" w:color="auto"/>
                                            <w:left w:val="none" w:sz="0" w:space="0" w:color="auto"/>
                                            <w:bottom w:val="none" w:sz="0" w:space="0" w:color="auto"/>
                                            <w:right w:val="none" w:sz="0" w:space="0" w:color="auto"/>
                                          </w:divBdr>
                                        </w:div>
                                      </w:divsChild>
                                    </w:div>
                                    <w:div w:id="258832152">
                                      <w:marLeft w:val="240"/>
                                      <w:marRight w:val="0"/>
                                      <w:marTop w:val="60"/>
                                      <w:marBottom w:val="60"/>
                                      <w:divBdr>
                                        <w:top w:val="none" w:sz="0" w:space="0" w:color="auto"/>
                                        <w:left w:val="none" w:sz="0" w:space="0" w:color="auto"/>
                                        <w:bottom w:val="none" w:sz="0" w:space="0" w:color="auto"/>
                                        <w:right w:val="none" w:sz="0" w:space="0" w:color="auto"/>
                                      </w:divBdr>
                                      <w:divsChild>
                                        <w:div w:id="817110783">
                                          <w:marLeft w:val="240"/>
                                          <w:marRight w:val="0"/>
                                          <w:marTop w:val="60"/>
                                          <w:marBottom w:val="60"/>
                                          <w:divBdr>
                                            <w:top w:val="none" w:sz="0" w:space="0" w:color="auto"/>
                                            <w:left w:val="none" w:sz="0" w:space="0" w:color="auto"/>
                                            <w:bottom w:val="none" w:sz="0" w:space="0" w:color="auto"/>
                                            <w:right w:val="none" w:sz="0" w:space="0" w:color="auto"/>
                                          </w:divBdr>
                                          <w:divsChild>
                                            <w:div w:id="108277204">
                                              <w:marLeft w:val="0"/>
                                              <w:marRight w:val="0"/>
                                              <w:marTop w:val="0"/>
                                              <w:marBottom w:val="0"/>
                                              <w:divBdr>
                                                <w:top w:val="none" w:sz="0" w:space="0" w:color="auto"/>
                                                <w:left w:val="none" w:sz="0" w:space="0" w:color="auto"/>
                                                <w:bottom w:val="none" w:sz="0" w:space="0" w:color="auto"/>
                                                <w:right w:val="none" w:sz="0" w:space="0" w:color="auto"/>
                                              </w:divBdr>
                                            </w:div>
                                          </w:divsChild>
                                        </w:div>
                                        <w:div w:id="600718951">
                                          <w:marLeft w:val="240"/>
                                          <w:marRight w:val="0"/>
                                          <w:marTop w:val="60"/>
                                          <w:marBottom w:val="60"/>
                                          <w:divBdr>
                                            <w:top w:val="none" w:sz="0" w:space="0" w:color="auto"/>
                                            <w:left w:val="none" w:sz="0" w:space="0" w:color="auto"/>
                                            <w:bottom w:val="none" w:sz="0" w:space="0" w:color="auto"/>
                                            <w:right w:val="none" w:sz="0" w:space="0" w:color="auto"/>
                                          </w:divBdr>
                                          <w:divsChild>
                                            <w:div w:id="1030254214">
                                              <w:marLeft w:val="0"/>
                                              <w:marRight w:val="0"/>
                                              <w:marTop w:val="0"/>
                                              <w:marBottom w:val="0"/>
                                              <w:divBdr>
                                                <w:top w:val="none" w:sz="0" w:space="0" w:color="auto"/>
                                                <w:left w:val="none" w:sz="0" w:space="0" w:color="auto"/>
                                                <w:bottom w:val="none" w:sz="0" w:space="0" w:color="auto"/>
                                                <w:right w:val="none" w:sz="0" w:space="0" w:color="auto"/>
                                              </w:divBdr>
                                            </w:div>
                                          </w:divsChild>
                                        </w:div>
                                        <w:div w:id="550458718">
                                          <w:marLeft w:val="240"/>
                                          <w:marRight w:val="0"/>
                                          <w:marTop w:val="60"/>
                                          <w:marBottom w:val="60"/>
                                          <w:divBdr>
                                            <w:top w:val="none" w:sz="0" w:space="0" w:color="auto"/>
                                            <w:left w:val="none" w:sz="0" w:space="0" w:color="auto"/>
                                            <w:bottom w:val="none" w:sz="0" w:space="0" w:color="auto"/>
                                            <w:right w:val="none" w:sz="0" w:space="0" w:color="auto"/>
                                          </w:divBdr>
                                          <w:divsChild>
                                            <w:div w:id="14467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57951">
                                      <w:marLeft w:val="240"/>
                                      <w:marRight w:val="0"/>
                                      <w:marTop w:val="60"/>
                                      <w:marBottom w:val="60"/>
                                      <w:divBdr>
                                        <w:top w:val="none" w:sz="0" w:space="0" w:color="auto"/>
                                        <w:left w:val="none" w:sz="0" w:space="0" w:color="auto"/>
                                        <w:bottom w:val="none" w:sz="0" w:space="0" w:color="auto"/>
                                        <w:right w:val="none" w:sz="0" w:space="0" w:color="auto"/>
                                      </w:divBdr>
                                      <w:divsChild>
                                        <w:div w:id="2064058551">
                                          <w:marLeft w:val="0"/>
                                          <w:marRight w:val="0"/>
                                          <w:marTop w:val="0"/>
                                          <w:marBottom w:val="0"/>
                                          <w:divBdr>
                                            <w:top w:val="none" w:sz="0" w:space="0" w:color="auto"/>
                                            <w:left w:val="none" w:sz="0" w:space="0" w:color="auto"/>
                                            <w:bottom w:val="none" w:sz="0" w:space="0" w:color="auto"/>
                                            <w:right w:val="none" w:sz="0" w:space="0" w:color="auto"/>
                                          </w:divBdr>
                                        </w:div>
                                      </w:divsChild>
                                    </w:div>
                                    <w:div w:id="1193496430">
                                      <w:marLeft w:val="240"/>
                                      <w:marRight w:val="0"/>
                                      <w:marTop w:val="60"/>
                                      <w:marBottom w:val="60"/>
                                      <w:divBdr>
                                        <w:top w:val="none" w:sz="0" w:space="0" w:color="auto"/>
                                        <w:left w:val="none" w:sz="0" w:space="0" w:color="auto"/>
                                        <w:bottom w:val="none" w:sz="0" w:space="0" w:color="auto"/>
                                        <w:right w:val="none" w:sz="0" w:space="0" w:color="auto"/>
                                      </w:divBdr>
                                      <w:divsChild>
                                        <w:div w:id="876701232">
                                          <w:marLeft w:val="240"/>
                                          <w:marRight w:val="0"/>
                                          <w:marTop w:val="60"/>
                                          <w:marBottom w:val="60"/>
                                          <w:divBdr>
                                            <w:top w:val="none" w:sz="0" w:space="0" w:color="auto"/>
                                            <w:left w:val="none" w:sz="0" w:space="0" w:color="auto"/>
                                            <w:bottom w:val="none" w:sz="0" w:space="0" w:color="auto"/>
                                            <w:right w:val="none" w:sz="0" w:space="0" w:color="auto"/>
                                          </w:divBdr>
                                          <w:divsChild>
                                            <w:div w:id="844973262">
                                              <w:marLeft w:val="0"/>
                                              <w:marRight w:val="0"/>
                                              <w:marTop w:val="0"/>
                                              <w:marBottom w:val="0"/>
                                              <w:divBdr>
                                                <w:top w:val="none" w:sz="0" w:space="0" w:color="auto"/>
                                                <w:left w:val="none" w:sz="0" w:space="0" w:color="auto"/>
                                                <w:bottom w:val="none" w:sz="0" w:space="0" w:color="auto"/>
                                                <w:right w:val="none" w:sz="0" w:space="0" w:color="auto"/>
                                              </w:divBdr>
                                            </w:div>
                                          </w:divsChild>
                                        </w:div>
                                        <w:div w:id="1024399223">
                                          <w:marLeft w:val="240"/>
                                          <w:marRight w:val="0"/>
                                          <w:marTop w:val="60"/>
                                          <w:marBottom w:val="60"/>
                                          <w:divBdr>
                                            <w:top w:val="none" w:sz="0" w:space="0" w:color="auto"/>
                                            <w:left w:val="none" w:sz="0" w:space="0" w:color="auto"/>
                                            <w:bottom w:val="none" w:sz="0" w:space="0" w:color="auto"/>
                                            <w:right w:val="none" w:sz="0" w:space="0" w:color="auto"/>
                                          </w:divBdr>
                                          <w:divsChild>
                                            <w:div w:id="159678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81577">
                                      <w:marLeft w:val="240"/>
                                      <w:marRight w:val="0"/>
                                      <w:marTop w:val="60"/>
                                      <w:marBottom w:val="60"/>
                                      <w:divBdr>
                                        <w:top w:val="none" w:sz="0" w:space="0" w:color="auto"/>
                                        <w:left w:val="none" w:sz="0" w:space="0" w:color="auto"/>
                                        <w:bottom w:val="none" w:sz="0" w:space="0" w:color="auto"/>
                                        <w:right w:val="none" w:sz="0" w:space="0" w:color="auto"/>
                                      </w:divBdr>
                                      <w:divsChild>
                                        <w:div w:id="1986349394">
                                          <w:marLeft w:val="240"/>
                                          <w:marRight w:val="0"/>
                                          <w:marTop w:val="60"/>
                                          <w:marBottom w:val="60"/>
                                          <w:divBdr>
                                            <w:top w:val="none" w:sz="0" w:space="0" w:color="auto"/>
                                            <w:left w:val="none" w:sz="0" w:space="0" w:color="auto"/>
                                            <w:bottom w:val="none" w:sz="0" w:space="0" w:color="auto"/>
                                            <w:right w:val="none" w:sz="0" w:space="0" w:color="auto"/>
                                          </w:divBdr>
                                          <w:divsChild>
                                            <w:div w:id="1225216376">
                                              <w:marLeft w:val="0"/>
                                              <w:marRight w:val="0"/>
                                              <w:marTop w:val="0"/>
                                              <w:marBottom w:val="0"/>
                                              <w:divBdr>
                                                <w:top w:val="none" w:sz="0" w:space="0" w:color="auto"/>
                                                <w:left w:val="none" w:sz="0" w:space="0" w:color="auto"/>
                                                <w:bottom w:val="none" w:sz="0" w:space="0" w:color="auto"/>
                                                <w:right w:val="none" w:sz="0" w:space="0" w:color="auto"/>
                                              </w:divBdr>
                                            </w:div>
                                          </w:divsChild>
                                        </w:div>
                                        <w:div w:id="688800957">
                                          <w:marLeft w:val="240"/>
                                          <w:marRight w:val="0"/>
                                          <w:marTop w:val="60"/>
                                          <w:marBottom w:val="60"/>
                                          <w:divBdr>
                                            <w:top w:val="none" w:sz="0" w:space="0" w:color="auto"/>
                                            <w:left w:val="none" w:sz="0" w:space="0" w:color="auto"/>
                                            <w:bottom w:val="none" w:sz="0" w:space="0" w:color="auto"/>
                                            <w:right w:val="none" w:sz="0" w:space="0" w:color="auto"/>
                                          </w:divBdr>
                                          <w:divsChild>
                                            <w:div w:id="154294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364349">
                                      <w:marLeft w:val="240"/>
                                      <w:marRight w:val="0"/>
                                      <w:marTop w:val="60"/>
                                      <w:marBottom w:val="60"/>
                                      <w:divBdr>
                                        <w:top w:val="none" w:sz="0" w:space="0" w:color="auto"/>
                                        <w:left w:val="none" w:sz="0" w:space="0" w:color="auto"/>
                                        <w:bottom w:val="none" w:sz="0" w:space="0" w:color="auto"/>
                                        <w:right w:val="none" w:sz="0" w:space="0" w:color="auto"/>
                                      </w:divBdr>
                                      <w:divsChild>
                                        <w:div w:id="1156071757">
                                          <w:marLeft w:val="0"/>
                                          <w:marRight w:val="0"/>
                                          <w:marTop w:val="0"/>
                                          <w:marBottom w:val="0"/>
                                          <w:divBdr>
                                            <w:top w:val="none" w:sz="0" w:space="0" w:color="auto"/>
                                            <w:left w:val="none" w:sz="0" w:space="0" w:color="auto"/>
                                            <w:bottom w:val="none" w:sz="0" w:space="0" w:color="auto"/>
                                            <w:right w:val="none" w:sz="0" w:space="0" w:color="auto"/>
                                          </w:divBdr>
                                        </w:div>
                                      </w:divsChild>
                                    </w:div>
                                    <w:div w:id="365834192">
                                      <w:marLeft w:val="240"/>
                                      <w:marRight w:val="0"/>
                                      <w:marTop w:val="60"/>
                                      <w:marBottom w:val="60"/>
                                      <w:divBdr>
                                        <w:top w:val="none" w:sz="0" w:space="0" w:color="auto"/>
                                        <w:left w:val="none" w:sz="0" w:space="0" w:color="auto"/>
                                        <w:bottom w:val="none" w:sz="0" w:space="0" w:color="auto"/>
                                        <w:right w:val="none" w:sz="0" w:space="0" w:color="auto"/>
                                      </w:divBdr>
                                      <w:divsChild>
                                        <w:div w:id="48169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338482">
                                  <w:marLeft w:val="240"/>
                                  <w:marRight w:val="0"/>
                                  <w:marTop w:val="60"/>
                                  <w:marBottom w:val="60"/>
                                  <w:divBdr>
                                    <w:top w:val="none" w:sz="0" w:space="0" w:color="auto"/>
                                    <w:left w:val="none" w:sz="0" w:space="0" w:color="auto"/>
                                    <w:bottom w:val="none" w:sz="0" w:space="0" w:color="auto"/>
                                    <w:right w:val="none" w:sz="0" w:space="0" w:color="auto"/>
                                  </w:divBdr>
                                  <w:divsChild>
                                    <w:div w:id="1427772306">
                                      <w:marLeft w:val="240"/>
                                      <w:marRight w:val="0"/>
                                      <w:marTop w:val="60"/>
                                      <w:marBottom w:val="60"/>
                                      <w:divBdr>
                                        <w:top w:val="none" w:sz="0" w:space="0" w:color="auto"/>
                                        <w:left w:val="none" w:sz="0" w:space="0" w:color="auto"/>
                                        <w:bottom w:val="none" w:sz="0" w:space="0" w:color="auto"/>
                                        <w:right w:val="none" w:sz="0" w:space="0" w:color="auto"/>
                                      </w:divBdr>
                                      <w:divsChild>
                                        <w:div w:id="1606385293">
                                          <w:marLeft w:val="240"/>
                                          <w:marRight w:val="0"/>
                                          <w:marTop w:val="60"/>
                                          <w:marBottom w:val="60"/>
                                          <w:divBdr>
                                            <w:top w:val="none" w:sz="0" w:space="0" w:color="auto"/>
                                            <w:left w:val="none" w:sz="0" w:space="0" w:color="auto"/>
                                            <w:bottom w:val="none" w:sz="0" w:space="0" w:color="auto"/>
                                            <w:right w:val="none" w:sz="0" w:space="0" w:color="auto"/>
                                          </w:divBdr>
                                          <w:divsChild>
                                            <w:div w:id="524753227">
                                              <w:marLeft w:val="0"/>
                                              <w:marRight w:val="0"/>
                                              <w:marTop w:val="0"/>
                                              <w:marBottom w:val="0"/>
                                              <w:divBdr>
                                                <w:top w:val="none" w:sz="0" w:space="0" w:color="auto"/>
                                                <w:left w:val="none" w:sz="0" w:space="0" w:color="auto"/>
                                                <w:bottom w:val="none" w:sz="0" w:space="0" w:color="auto"/>
                                                <w:right w:val="none" w:sz="0" w:space="0" w:color="auto"/>
                                              </w:divBdr>
                                            </w:div>
                                          </w:divsChild>
                                        </w:div>
                                        <w:div w:id="1705062369">
                                          <w:marLeft w:val="240"/>
                                          <w:marRight w:val="0"/>
                                          <w:marTop w:val="60"/>
                                          <w:marBottom w:val="60"/>
                                          <w:divBdr>
                                            <w:top w:val="none" w:sz="0" w:space="0" w:color="auto"/>
                                            <w:left w:val="none" w:sz="0" w:space="0" w:color="auto"/>
                                            <w:bottom w:val="none" w:sz="0" w:space="0" w:color="auto"/>
                                            <w:right w:val="none" w:sz="0" w:space="0" w:color="auto"/>
                                          </w:divBdr>
                                          <w:divsChild>
                                            <w:div w:id="1070007900">
                                              <w:marLeft w:val="240"/>
                                              <w:marRight w:val="0"/>
                                              <w:marTop w:val="60"/>
                                              <w:marBottom w:val="60"/>
                                              <w:divBdr>
                                                <w:top w:val="none" w:sz="0" w:space="0" w:color="auto"/>
                                                <w:left w:val="none" w:sz="0" w:space="0" w:color="auto"/>
                                                <w:bottom w:val="none" w:sz="0" w:space="0" w:color="auto"/>
                                                <w:right w:val="none" w:sz="0" w:space="0" w:color="auto"/>
                                              </w:divBdr>
                                              <w:divsChild>
                                                <w:div w:id="624430866">
                                                  <w:marLeft w:val="0"/>
                                                  <w:marRight w:val="0"/>
                                                  <w:marTop w:val="0"/>
                                                  <w:marBottom w:val="0"/>
                                                  <w:divBdr>
                                                    <w:top w:val="none" w:sz="0" w:space="0" w:color="auto"/>
                                                    <w:left w:val="none" w:sz="0" w:space="0" w:color="auto"/>
                                                    <w:bottom w:val="none" w:sz="0" w:space="0" w:color="auto"/>
                                                    <w:right w:val="none" w:sz="0" w:space="0" w:color="auto"/>
                                                  </w:divBdr>
                                                </w:div>
                                              </w:divsChild>
                                            </w:div>
                                            <w:div w:id="1601375896">
                                              <w:marLeft w:val="240"/>
                                              <w:marRight w:val="0"/>
                                              <w:marTop w:val="60"/>
                                              <w:marBottom w:val="60"/>
                                              <w:divBdr>
                                                <w:top w:val="none" w:sz="0" w:space="0" w:color="auto"/>
                                                <w:left w:val="none" w:sz="0" w:space="0" w:color="auto"/>
                                                <w:bottom w:val="none" w:sz="0" w:space="0" w:color="auto"/>
                                                <w:right w:val="none" w:sz="0" w:space="0" w:color="auto"/>
                                              </w:divBdr>
                                              <w:divsChild>
                                                <w:div w:id="242686189">
                                                  <w:marLeft w:val="240"/>
                                                  <w:marRight w:val="0"/>
                                                  <w:marTop w:val="60"/>
                                                  <w:marBottom w:val="60"/>
                                                  <w:divBdr>
                                                    <w:top w:val="none" w:sz="0" w:space="0" w:color="auto"/>
                                                    <w:left w:val="none" w:sz="0" w:space="0" w:color="auto"/>
                                                    <w:bottom w:val="none" w:sz="0" w:space="0" w:color="auto"/>
                                                    <w:right w:val="none" w:sz="0" w:space="0" w:color="auto"/>
                                                  </w:divBdr>
                                                  <w:divsChild>
                                                    <w:div w:id="190652825">
                                                      <w:marLeft w:val="0"/>
                                                      <w:marRight w:val="0"/>
                                                      <w:marTop w:val="0"/>
                                                      <w:marBottom w:val="0"/>
                                                      <w:divBdr>
                                                        <w:top w:val="none" w:sz="0" w:space="0" w:color="auto"/>
                                                        <w:left w:val="none" w:sz="0" w:space="0" w:color="auto"/>
                                                        <w:bottom w:val="none" w:sz="0" w:space="0" w:color="auto"/>
                                                        <w:right w:val="none" w:sz="0" w:space="0" w:color="auto"/>
                                                      </w:divBdr>
                                                    </w:div>
                                                  </w:divsChild>
                                                </w:div>
                                                <w:div w:id="1362366361">
                                                  <w:marLeft w:val="240"/>
                                                  <w:marRight w:val="0"/>
                                                  <w:marTop w:val="60"/>
                                                  <w:marBottom w:val="60"/>
                                                  <w:divBdr>
                                                    <w:top w:val="none" w:sz="0" w:space="0" w:color="auto"/>
                                                    <w:left w:val="none" w:sz="0" w:space="0" w:color="auto"/>
                                                    <w:bottom w:val="none" w:sz="0" w:space="0" w:color="auto"/>
                                                    <w:right w:val="none" w:sz="0" w:space="0" w:color="auto"/>
                                                  </w:divBdr>
                                                  <w:divsChild>
                                                    <w:div w:id="109119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460749">
                                              <w:marLeft w:val="1020"/>
                                              <w:marRight w:val="0"/>
                                              <w:marTop w:val="0"/>
                                              <w:marBottom w:val="0"/>
                                              <w:divBdr>
                                                <w:top w:val="none" w:sz="0" w:space="0" w:color="auto"/>
                                                <w:left w:val="none" w:sz="0" w:space="0" w:color="auto"/>
                                                <w:bottom w:val="none" w:sz="0" w:space="0" w:color="auto"/>
                                                <w:right w:val="none" w:sz="0" w:space="0" w:color="auto"/>
                                              </w:divBdr>
                                            </w:div>
                                          </w:divsChild>
                                        </w:div>
                                      </w:divsChild>
                                    </w:div>
                                    <w:div w:id="175383935">
                                      <w:marLeft w:val="240"/>
                                      <w:marRight w:val="0"/>
                                      <w:marTop w:val="60"/>
                                      <w:marBottom w:val="60"/>
                                      <w:divBdr>
                                        <w:top w:val="none" w:sz="0" w:space="0" w:color="auto"/>
                                        <w:left w:val="none" w:sz="0" w:space="0" w:color="auto"/>
                                        <w:bottom w:val="none" w:sz="0" w:space="0" w:color="auto"/>
                                        <w:right w:val="none" w:sz="0" w:space="0" w:color="auto"/>
                                      </w:divBdr>
                                      <w:divsChild>
                                        <w:div w:id="1125196661">
                                          <w:marLeft w:val="240"/>
                                          <w:marRight w:val="0"/>
                                          <w:marTop w:val="60"/>
                                          <w:marBottom w:val="60"/>
                                          <w:divBdr>
                                            <w:top w:val="none" w:sz="0" w:space="0" w:color="auto"/>
                                            <w:left w:val="none" w:sz="0" w:space="0" w:color="auto"/>
                                            <w:bottom w:val="none" w:sz="0" w:space="0" w:color="auto"/>
                                            <w:right w:val="none" w:sz="0" w:space="0" w:color="auto"/>
                                          </w:divBdr>
                                          <w:divsChild>
                                            <w:div w:id="1484812114">
                                              <w:marLeft w:val="240"/>
                                              <w:marRight w:val="0"/>
                                              <w:marTop w:val="60"/>
                                              <w:marBottom w:val="60"/>
                                              <w:divBdr>
                                                <w:top w:val="none" w:sz="0" w:space="0" w:color="auto"/>
                                                <w:left w:val="none" w:sz="0" w:space="0" w:color="auto"/>
                                                <w:bottom w:val="none" w:sz="0" w:space="0" w:color="auto"/>
                                                <w:right w:val="none" w:sz="0" w:space="0" w:color="auto"/>
                                              </w:divBdr>
                                              <w:divsChild>
                                                <w:div w:id="1219634454">
                                                  <w:marLeft w:val="0"/>
                                                  <w:marRight w:val="0"/>
                                                  <w:marTop w:val="0"/>
                                                  <w:marBottom w:val="0"/>
                                                  <w:divBdr>
                                                    <w:top w:val="none" w:sz="0" w:space="0" w:color="auto"/>
                                                    <w:left w:val="none" w:sz="0" w:space="0" w:color="auto"/>
                                                    <w:bottom w:val="none" w:sz="0" w:space="0" w:color="auto"/>
                                                    <w:right w:val="none" w:sz="0" w:space="0" w:color="auto"/>
                                                  </w:divBdr>
                                                </w:div>
                                              </w:divsChild>
                                            </w:div>
                                            <w:div w:id="1861358851">
                                              <w:marLeft w:val="240"/>
                                              <w:marRight w:val="0"/>
                                              <w:marTop w:val="60"/>
                                              <w:marBottom w:val="60"/>
                                              <w:divBdr>
                                                <w:top w:val="none" w:sz="0" w:space="0" w:color="auto"/>
                                                <w:left w:val="none" w:sz="0" w:space="0" w:color="auto"/>
                                                <w:bottom w:val="none" w:sz="0" w:space="0" w:color="auto"/>
                                                <w:right w:val="none" w:sz="0" w:space="0" w:color="auto"/>
                                              </w:divBdr>
                                              <w:divsChild>
                                                <w:div w:id="1330786937">
                                                  <w:marLeft w:val="0"/>
                                                  <w:marRight w:val="0"/>
                                                  <w:marTop w:val="0"/>
                                                  <w:marBottom w:val="0"/>
                                                  <w:divBdr>
                                                    <w:top w:val="none" w:sz="0" w:space="0" w:color="auto"/>
                                                    <w:left w:val="none" w:sz="0" w:space="0" w:color="auto"/>
                                                    <w:bottom w:val="none" w:sz="0" w:space="0" w:color="auto"/>
                                                    <w:right w:val="none" w:sz="0" w:space="0" w:color="auto"/>
                                                  </w:divBdr>
                                                </w:div>
                                              </w:divsChild>
                                            </w:div>
                                            <w:div w:id="1396080414">
                                              <w:marLeft w:val="240"/>
                                              <w:marRight w:val="0"/>
                                              <w:marTop w:val="60"/>
                                              <w:marBottom w:val="60"/>
                                              <w:divBdr>
                                                <w:top w:val="none" w:sz="0" w:space="0" w:color="auto"/>
                                                <w:left w:val="none" w:sz="0" w:space="0" w:color="auto"/>
                                                <w:bottom w:val="none" w:sz="0" w:space="0" w:color="auto"/>
                                                <w:right w:val="none" w:sz="0" w:space="0" w:color="auto"/>
                                              </w:divBdr>
                                              <w:divsChild>
                                                <w:div w:id="39442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259005">
                                          <w:marLeft w:val="240"/>
                                          <w:marRight w:val="0"/>
                                          <w:marTop w:val="60"/>
                                          <w:marBottom w:val="60"/>
                                          <w:divBdr>
                                            <w:top w:val="none" w:sz="0" w:space="0" w:color="auto"/>
                                            <w:left w:val="none" w:sz="0" w:space="0" w:color="auto"/>
                                            <w:bottom w:val="none" w:sz="0" w:space="0" w:color="auto"/>
                                            <w:right w:val="none" w:sz="0" w:space="0" w:color="auto"/>
                                          </w:divBdr>
                                          <w:divsChild>
                                            <w:div w:id="69735913">
                                              <w:marLeft w:val="240"/>
                                              <w:marRight w:val="0"/>
                                              <w:marTop w:val="60"/>
                                              <w:marBottom w:val="60"/>
                                              <w:divBdr>
                                                <w:top w:val="none" w:sz="0" w:space="0" w:color="auto"/>
                                                <w:left w:val="none" w:sz="0" w:space="0" w:color="auto"/>
                                                <w:bottom w:val="none" w:sz="0" w:space="0" w:color="auto"/>
                                                <w:right w:val="none" w:sz="0" w:space="0" w:color="auto"/>
                                              </w:divBdr>
                                              <w:divsChild>
                                                <w:div w:id="1135828775">
                                                  <w:marLeft w:val="0"/>
                                                  <w:marRight w:val="0"/>
                                                  <w:marTop w:val="0"/>
                                                  <w:marBottom w:val="0"/>
                                                  <w:divBdr>
                                                    <w:top w:val="none" w:sz="0" w:space="0" w:color="auto"/>
                                                    <w:left w:val="none" w:sz="0" w:space="0" w:color="auto"/>
                                                    <w:bottom w:val="none" w:sz="0" w:space="0" w:color="auto"/>
                                                    <w:right w:val="none" w:sz="0" w:space="0" w:color="auto"/>
                                                  </w:divBdr>
                                                </w:div>
                                              </w:divsChild>
                                            </w:div>
                                            <w:div w:id="1253734322">
                                              <w:marLeft w:val="240"/>
                                              <w:marRight w:val="0"/>
                                              <w:marTop w:val="60"/>
                                              <w:marBottom w:val="60"/>
                                              <w:divBdr>
                                                <w:top w:val="none" w:sz="0" w:space="0" w:color="auto"/>
                                                <w:left w:val="none" w:sz="0" w:space="0" w:color="auto"/>
                                                <w:bottom w:val="none" w:sz="0" w:space="0" w:color="auto"/>
                                                <w:right w:val="none" w:sz="0" w:space="0" w:color="auto"/>
                                              </w:divBdr>
                                              <w:divsChild>
                                                <w:div w:id="49592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245517">
                                      <w:marLeft w:val="240"/>
                                      <w:marRight w:val="0"/>
                                      <w:marTop w:val="60"/>
                                      <w:marBottom w:val="60"/>
                                      <w:divBdr>
                                        <w:top w:val="none" w:sz="0" w:space="0" w:color="auto"/>
                                        <w:left w:val="none" w:sz="0" w:space="0" w:color="auto"/>
                                        <w:bottom w:val="none" w:sz="0" w:space="0" w:color="auto"/>
                                        <w:right w:val="none" w:sz="0" w:space="0" w:color="auto"/>
                                      </w:divBdr>
                                      <w:divsChild>
                                        <w:div w:id="215749346">
                                          <w:marLeft w:val="0"/>
                                          <w:marRight w:val="0"/>
                                          <w:marTop w:val="0"/>
                                          <w:marBottom w:val="0"/>
                                          <w:divBdr>
                                            <w:top w:val="none" w:sz="0" w:space="0" w:color="auto"/>
                                            <w:left w:val="none" w:sz="0" w:space="0" w:color="auto"/>
                                            <w:bottom w:val="none" w:sz="0" w:space="0" w:color="auto"/>
                                            <w:right w:val="none" w:sz="0" w:space="0" w:color="auto"/>
                                          </w:divBdr>
                                        </w:div>
                                      </w:divsChild>
                                    </w:div>
                                    <w:div w:id="925070153">
                                      <w:marLeft w:val="240"/>
                                      <w:marRight w:val="0"/>
                                      <w:marTop w:val="60"/>
                                      <w:marBottom w:val="60"/>
                                      <w:divBdr>
                                        <w:top w:val="none" w:sz="0" w:space="0" w:color="auto"/>
                                        <w:left w:val="none" w:sz="0" w:space="0" w:color="auto"/>
                                        <w:bottom w:val="none" w:sz="0" w:space="0" w:color="auto"/>
                                        <w:right w:val="none" w:sz="0" w:space="0" w:color="auto"/>
                                      </w:divBdr>
                                      <w:divsChild>
                                        <w:div w:id="184943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77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cornell.edu/definitions/uscode.php?width=840&amp;height=800&amp;iframe=true&amp;def_id=26-USC-1280754336-1888425076&amp;term_occur=999&amp;term_src=title:26:subtitle:A:chapter:1:subchapter:P:part:III:section:1221" TargetMode="External"/><Relationship Id="rId13" Type="http://schemas.openxmlformats.org/officeDocument/2006/relationships/hyperlink" Target="https://www.law.cornell.edu/definitions/uscode.php?width=840&amp;height=800&amp;iframe=true&amp;def_id=26-USC-1534817890-1888425075&amp;term_occur=999&amp;term_src=title:26:subtitle:A:chapter:1:subchapter:P:part:III:section:1221" TargetMode="External"/><Relationship Id="rId18" Type="http://schemas.openxmlformats.org/officeDocument/2006/relationships/hyperlink" Target="https://www.law.cornell.edu/rio/citation/68A_Stat._321" TargetMode="External"/><Relationship Id="rId26" Type="http://schemas.openxmlformats.org/officeDocument/2006/relationships/hyperlink" Target="https://www.law.cornell.edu/rio/citation/113_Stat._1928"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aw.cornell.edu/rio/citation/Pub._L._94-455" TargetMode="External"/><Relationship Id="rId34" Type="http://schemas.openxmlformats.org/officeDocument/2006/relationships/hyperlink" Target="https://www.law.cornell.edu/rio/citation/120_Stat._2963" TargetMode="External"/><Relationship Id="rId7" Type="http://schemas.openxmlformats.org/officeDocument/2006/relationships/hyperlink" Target="https://www.law.cornell.edu/definitions/uscode.php?width=840&amp;height=800&amp;iframe=true&amp;def_id=26-USC-1956765346-1888425075&amp;term_occur=999&amp;term_src=title:26:subtitle:A:chapter:1:subchapter:P:part:III:section:1221" TargetMode="External"/><Relationship Id="rId12" Type="http://schemas.openxmlformats.org/officeDocument/2006/relationships/hyperlink" Target="https://www.law.cornell.edu/uscode/text/26/1256" TargetMode="External"/><Relationship Id="rId17" Type="http://schemas.openxmlformats.org/officeDocument/2006/relationships/hyperlink" Target="https://www.law.cornell.edu/definitions/uscode.php?width=840&amp;height=800&amp;iframe=true&amp;def_id=26-USC-1280754336-1888425076&amp;term_occur=999&amp;term_src=title:26:subtitle:A:chapter:1:subchapter:P:part:III:section:1221" TargetMode="External"/><Relationship Id="rId25" Type="http://schemas.openxmlformats.org/officeDocument/2006/relationships/hyperlink" Target="https://www.law.cornell.edu/rio/citation/Pub._L._106-170" TargetMode="External"/><Relationship Id="rId33" Type="http://schemas.openxmlformats.org/officeDocument/2006/relationships/hyperlink" Target="https://www.law.cornell.edu/rio/citation/Pub._L._109-432" TargetMode="External"/><Relationship Id="rId38" Type="http://schemas.openxmlformats.org/officeDocument/2006/relationships/hyperlink" Target="https://www.law.cornell.edu/rio/citation/131_Stat._2133" TargetMode="External"/><Relationship Id="rId2" Type="http://schemas.openxmlformats.org/officeDocument/2006/relationships/styles" Target="styles.xml"/><Relationship Id="rId16" Type="http://schemas.openxmlformats.org/officeDocument/2006/relationships/hyperlink" Target="https://www.law.cornell.edu/definitions/uscode.php?width=840&amp;height=800&amp;iframe=true&amp;def_id=26-USC-1280754336-1888425076&amp;term_occur=999&amp;term_src=title:26:subtitle:A:chapter:1:subchapter:P:part:III:section:1221" TargetMode="External"/><Relationship Id="rId20" Type="http://schemas.openxmlformats.org/officeDocument/2006/relationships/hyperlink" Target="https://www.law.cornell.edu/rio/citation/83_Stat._643" TargetMode="External"/><Relationship Id="rId29" Type="http://schemas.openxmlformats.org/officeDocument/2006/relationships/hyperlink" Target="https://www.law.cornell.edu/rio/citation/Pub._L._107-147" TargetMode="External"/><Relationship Id="rId1" Type="http://schemas.openxmlformats.org/officeDocument/2006/relationships/numbering" Target="numbering.xml"/><Relationship Id="rId6" Type="http://schemas.openxmlformats.org/officeDocument/2006/relationships/hyperlink" Target="https://www.law.cornell.edu/definitions/uscode.php?width=840&amp;height=800&amp;iframe=true&amp;def_id=26-USC-146136766-1888425075&amp;term_occur=999&amp;term_src=title:26:subtitle:A:chapter:1:subchapter:P:part:III:section:1221" TargetMode="External"/><Relationship Id="rId11" Type="http://schemas.openxmlformats.org/officeDocument/2006/relationships/hyperlink" Target="https://www.law.cornell.edu/definitions/uscode.php?width=840&amp;height=800&amp;iframe=true&amp;def_id=26-USC-146136766-1888425075&amp;term_occur=999&amp;term_src=title:26:subtitle:A:chapter:1:subchapter:P:part:III:section:1221" TargetMode="External"/><Relationship Id="rId24" Type="http://schemas.openxmlformats.org/officeDocument/2006/relationships/hyperlink" Target="https://www.law.cornell.edu/rio/citation/95_Stat._331" TargetMode="External"/><Relationship Id="rId32" Type="http://schemas.openxmlformats.org/officeDocument/2006/relationships/hyperlink" Target="https://www.law.cornell.edu/rio/citation/120_Stat._350" TargetMode="External"/><Relationship Id="rId37" Type="http://schemas.openxmlformats.org/officeDocument/2006/relationships/hyperlink" Target="https://www.law.cornell.edu/rio/citation/Pub._L._115-97" TargetMode="External"/><Relationship Id="rId40" Type="http://schemas.openxmlformats.org/officeDocument/2006/relationships/theme" Target="theme/theme1.xml"/><Relationship Id="rId5" Type="http://schemas.openxmlformats.org/officeDocument/2006/relationships/hyperlink" Target="https://www.law.cornell.edu/definitions/uscode.php?width=840&amp;height=800&amp;iframe=true&amp;def_id=26-USC-1782181320-1445538875&amp;term_occur=999&amp;term_src=title:26:subtitle:A:chapter:1:subchapter:P:part:III:section:1221" TargetMode="External"/><Relationship Id="rId15" Type="http://schemas.openxmlformats.org/officeDocument/2006/relationships/hyperlink" Target="https://www.law.cornell.edu/definitions/uscode.php?width=840&amp;height=800&amp;iframe=true&amp;def_id=26-USC-1280754336-1888425076&amp;term_occur=999&amp;term_src=title:26:subtitle:A:chapter:1:subchapter:P:part:III:section:1221" TargetMode="External"/><Relationship Id="rId23" Type="http://schemas.openxmlformats.org/officeDocument/2006/relationships/hyperlink" Target="https://www.law.cornell.edu/rio/citation/Pub._L._97-34" TargetMode="External"/><Relationship Id="rId28" Type="http://schemas.openxmlformats.org/officeDocument/2006/relationships/hyperlink" Target="https://www.law.cornell.edu/rio/citation/115_Stat._85" TargetMode="External"/><Relationship Id="rId36" Type="http://schemas.openxmlformats.org/officeDocument/2006/relationships/hyperlink" Target="https://www.law.cornell.edu/rio/citation/124_Stat._3300" TargetMode="External"/><Relationship Id="rId10" Type="http://schemas.openxmlformats.org/officeDocument/2006/relationships/hyperlink" Target="https://www.law.cornell.edu/definitions/uscode.php?width=840&amp;height=800&amp;iframe=true&amp;def_id=26-USC-146136766-1888425075&amp;term_occur=999&amp;term_src=title:26:subtitle:A:chapter:1:subchapter:P:part:III:section:1221" TargetMode="External"/><Relationship Id="rId19" Type="http://schemas.openxmlformats.org/officeDocument/2006/relationships/hyperlink" Target="https://www.law.cornell.edu/rio/citation/Pub._L._91-172" TargetMode="External"/><Relationship Id="rId31" Type="http://schemas.openxmlformats.org/officeDocument/2006/relationships/hyperlink" Target="https://www.law.cornell.edu/rio/citation/Pub._L._109-222" TargetMode="External"/><Relationship Id="rId4" Type="http://schemas.openxmlformats.org/officeDocument/2006/relationships/webSettings" Target="webSettings.xml"/><Relationship Id="rId9" Type="http://schemas.openxmlformats.org/officeDocument/2006/relationships/hyperlink" Target="https://www.law.cornell.edu/definitions/uscode.php?width=840&amp;height=800&amp;iframe=true&amp;def_id=26-USC-1956765346-1888425075&amp;term_occur=999&amp;term_src=title:26:subtitle:A:chapter:1:subchapter:P:part:III:section:1221" TargetMode="External"/><Relationship Id="rId14" Type="http://schemas.openxmlformats.org/officeDocument/2006/relationships/hyperlink" Target="https://www.law.cornell.edu/definitions/uscode.php?width=840&amp;height=800&amp;iframe=true&amp;def_id=26-USC-1534817890-1888425075&amp;term_occur=999&amp;term_src=title:26:subtitle:A:chapter:1:subchapter:P:part:III:section:1221" TargetMode="External"/><Relationship Id="rId22" Type="http://schemas.openxmlformats.org/officeDocument/2006/relationships/hyperlink" Target="https://www.law.cornell.edu/rio/citation/90_Stat._1803" TargetMode="External"/><Relationship Id="rId27" Type="http://schemas.openxmlformats.org/officeDocument/2006/relationships/hyperlink" Target="https://www.law.cornell.edu/rio/citation/Pub._L._107-16" TargetMode="External"/><Relationship Id="rId30" Type="http://schemas.openxmlformats.org/officeDocument/2006/relationships/hyperlink" Target="https://www.law.cornell.edu/rio/citation/116_Stat._57" TargetMode="External"/><Relationship Id="rId35" Type="http://schemas.openxmlformats.org/officeDocument/2006/relationships/hyperlink" Target="https://www.law.cornell.edu/rio/citation/Pub._L._111-3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1628</Words>
  <Characters>9284</Characters>
  <Application>Microsoft Office Word</Application>
  <DocSecurity>0</DocSecurity>
  <Lines>77</Lines>
  <Paragraphs>21</Paragraphs>
  <ScaleCrop>false</ScaleCrop>
  <Company/>
  <LinksUpToDate>false</LinksUpToDate>
  <CharactersWithSpaces>10891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Steiner, Elizabeth G</dc:creator>
  <cp:keywords/>
  <dc:description/>
  <cp:lastModifiedBy>Steiner, Elizabeth G</cp:lastModifiedBy>
  <cp:revision>1</cp:revision>
  <dcterms:created xsi:type="dcterms:W3CDTF">2022-02-07T14:09:00Z</dcterms:created>
  <dcterms:modified xsi:type="dcterms:W3CDTF">2022-02-07T14:11:00Z</dcterms:modified>
</cp:coreProperties>
</file>