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7ADBC" w14:textId="77777777" w:rsidR="00D349A5" w:rsidRPr="00D349A5" w:rsidRDefault="00D349A5" w:rsidP="00D349A5">
      <w:pPr>
        <w:shd w:val="clear" w:color="auto" w:fill="FFFFFF"/>
        <w:spacing w:before="300" w:after="150" w:line="240" w:lineRule="auto"/>
        <w:outlineLvl w:val="0"/>
        <w:rPr>
          <w:rFonts w:ascii="Arial" w:eastAsia="Times New Roman" w:hAnsi="Arial" w:cs="Arial"/>
          <w:color w:val="333333"/>
          <w:kern w:val="36"/>
          <w:sz w:val="54"/>
          <w:szCs w:val="54"/>
        </w:rPr>
      </w:pPr>
      <w:r w:rsidRPr="00D349A5">
        <w:rPr>
          <w:rFonts w:ascii="Arial" w:eastAsia="Times New Roman" w:hAnsi="Arial" w:cs="Arial"/>
          <w:color w:val="333333"/>
          <w:kern w:val="36"/>
          <w:sz w:val="54"/>
          <w:szCs w:val="54"/>
        </w:rPr>
        <w:t>26 U.S. Code § 267 - Losses, expenses, and interest with respect to transactions between related taxpayers</w:t>
      </w:r>
    </w:p>
    <w:p w14:paraId="0A21F18B" w14:textId="543D5D1D"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0" w:name="a"/>
      <w:bookmarkEnd w:id="0"/>
      <w:r w:rsidRPr="00D349A5">
        <w:rPr>
          <w:rFonts w:ascii="Arial" w:eastAsia="Times New Roman" w:hAnsi="Arial" w:cs="Arial"/>
          <w:b/>
          <w:bCs/>
          <w:color w:val="333333"/>
          <w:sz w:val="24"/>
          <w:szCs w:val="24"/>
        </w:rPr>
        <w:t>(a)</w:t>
      </w:r>
      <w:r w:rsidR="006C539C">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In general</w:t>
      </w:r>
    </w:p>
    <w:p w14:paraId="533C0E4D" w14:textId="0EEDD0F3"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 w:name="a_1"/>
      <w:bookmarkEnd w:id="1"/>
      <w:r w:rsidRPr="00D349A5">
        <w:rPr>
          <w:rFonts w:ascii="Arial" w:eastAsia="Times New Roman" w:hAnsi="Arial" w:cs="Arial"/>
          <w:b/>
          <w:bCs/>
          <w:color w:val="333333"/>
          <w:sz w:val="24"/>
          <w:szCs w:val="24"/>
        </w:rPr>
        <w:t>(1)</w:t>
      </w:r>
      <w:r w:rsidRPr="00D349A5">
        <w:rPr>
          <w:rFonts w:ascii="Arial" w:eastAsia="Times New Roman" w:hAnsi="Arial" w:cs="Arial"/>
          <w:b/>
          <w:bCs/>
          <w:smallCaps/>
          <w:color w:val="333333"/>
          <w:sz w:val="24"/>
          <w:szCs w:val="24"/>
        </w:rPr>
        <w:t xml:space="preserve"> DEDUCTION for losses disallowed</w:t>
      </w:r>
    </w:p>
    <w:p w14:paraId="41FD91A4"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No deduction shall be allowed in respect of any loss from the sale or exchange of property, directly or indirectly, between persons specified in any of the paragraphs of subsection (b). The preceding sentence shall not apply to any loss of the distributing corporation (or the </w:t>
      </w:r>
      <w:proofErr w:type="spellStart"/>
      <w:r w:rsidRPr="00D349A5">
        <w:rPr>
          <w:rFonts w:ascii="Arial" w:eastAsia="Times New Roman" w:hAnsi="Arial" w:cs="Arial"/>
          <w:color w:val="333333"/>
          <w:sz w:val="24"/>
          <w:szCs w:val="24"/>
        </w:rPr>
        <w:t>distributee</w:t>
      </w:r>
      <w:proofErr w:type="spellEnd"/>
      <w:r w:rsidRPr="00D349A5">
        <w:rPr>
          <w:rFonts w:ascii="Arial" w:eastAsia="Times New Roman" w:hAnsi="Arial" w:cs="Arial"/>
          <w:color w:val="333333"/>
          <w:sz w:val="24"/>
          <w:szCs w:val="24"/>
        </w:rPr>
        <w:t>) in the case of a distribution in complete liquidation.</w:t>
      </w:r>
    </w:p>
    <w:p w14:paraId="37C9091C" w14:textId="1D0332B1"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 w:name="a_2"/>
      <w:bookmarkEnd w:id="2"/>
      <w:r w:rsidRPr="00D349A5">
        <w:rPr>
          <w:rFonts w:ascii="Arial" w:eastAsia="Times New Roman" w:hAnsi="Arial" w:cs="Arial"/>
          <w:b/>
          <w:bCs/>
          <w:color w:val="333333"/>
          <w:sz w:val="24"/>
          <w:szCs w:val="24"/>
        </w:rPr>
        <w:t>(2)</w:t>
      </w:r>
      <w:r w:rsidRPr="00D349A5">
        <w:rPr>
          <w:rFonts w:ascii="Arial" w:eastAsia="Times New Roman" w:hAnsi="Arial" w:cs="Arial"/>
          <w:b/>
          <w:bCs/>
          <w:smallCaps/>
          <w:color w:val="333333"/>
          <w:sz w:val="24"/>
          <w:szCs w:val="24"/>
        </w:rPr>
        <w:t xml:space="preserve"> MATCHING of deduction and payee income item in the case of expenses and interest</w:t>
      </w:r>
      <w:r w:rsidRPr="00D349A5">
        <w:rPr>
          <w:rFonts w:ascii="Arial" w:eastAsia="Times New Roman" w:hAnsi="Arial" w:cs="Arial"/>
          <w:color w:val="333333"/>
          <w:sz w:val="24"/>
          <w:szCs w:val="24"/>
        </w:rPr>
        <w:t xml:space="preserve"> If—</w:t>
      </w:r>
    </w:p>
    <w:p w14:paraId="366F4A6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 w:name="a_2_A"/>
      <w:bookmarkEnd w:id="3"/>
      <w:r w:rsidRPr="00D349A5">
        <w:rPr>
          <w:rFonts w:ascii="Arial" w:eastAsia="Times New Roman" w:hAnsi="Arial" w:cs="Arial"/>
          <w:b/>
          <w:bCs/>
          <w:color w:val="333333"/>
          <w:sz w:val="24"/>
          <w:szCs w:val="24"/>
        </w:rPr>
        <w:t>(A)</w:t>
      </w:r>
    </w:p>
    <w:p w14:paraId="6686BD24"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by reason of the method of accounting of the person to whom the payment is to be made, the amount thereof is not (unless paid) includible in the gross income of such person, and</w:t>
      </w:r>
    </w:p>
    <w:p w14:paraId="5A12F8DA"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 w:name="a_2_B"/>
      <w:bookmarkEnd w:id="4"/>
      <w:r w:rsidRPr="00D349A5">
        <w:rPr>
          <w:rFonts w:ascii="Arial" w:eastAsia="Times New Roman" w:hAnsi="Arial" w:cs="Arial"/>
          <w:b/>
          <w:bCs/>
          <w:color w:val="333333"/>
          <w:sz w:val="24"/>
          <w:szCs w:val="24"/>
        </w:rPr>
        <w:t>(B)</w:t>
      </w:r>
    </w:p>
    <w:p w14:paraId="24E196D1"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at the close of the taxable year of the taxpayer for which (but for this paragraph) the amount would be deductible under this chapter, both the taxpayer and the person to whom the payment is to be made are persons specified in any of the paragraphs of subsection (b),</w:t>
      </w:r>
    </w:p>
    <w:p w14:paraId="7D639EAC"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then any deduction allowable under this chapter in respect of such amount shall be allowable as of the day as of which such amount is includible in the gross income of the person to whom the payment is made (or, if later, as of the day on which it would be so allowable but for this paragraph). For purposes of this paragraph, in the case of a personal service corporation (within the meaning of </w:t>
      </w:r>
      <w:hyperlink r:id="rId5" w:anchor="i_2" w:history="1">
        <w:r w:rsidRPr="00D349A5">
          <w:rPr>
            <w:rFonts w:ascii="Arial" w:eastAsia="Times New Roman" w:hAnsi="Arial" w:cs="Arial"/>
            <w:color w:val="0068AC"/>
            <w:sz w:val="24"/>
            <w:szCs w:val="24"/>
            <w:u w:val="single"/>
          </w:rPr>
          <w:t>section 441(</w:t>
        </w:r>
        <w:proofErr w:type="spellStart"/>
        <w:r w:rsidRPr="00D349A5">
          <w:rPr>
            <w:rFonts w:ascii="Arial" w:eastAsia="Times New Roman" w:hAnsi="Arial" w:cs="Arial"/>
            <w:color w:val="0068AC"/>
            <w:sz w:val="24"/>
            <w:szCs w:val="24"/>
            <w:u w:val="single"/>
          </w:rPr>
          <w:t>i</w:t>
        </w:r>
        <w:proofErr w:type="spellEnd"/>
        <w:r w:rsidRPr="00D349A5">
          <w:rPr>
            <w:rFonts w:ascii="Arial" w:eastAsia="Times New Roman" w:hAnsi="Arial" w:cs="Arial"/>
            <w:color w:val="0068AC"/>
            <w:sz w:val="24"/>
            <w:szCs w:val="24"/>
            <w:u w:val="single"/>
          </w:rPr>
          <w:t>)(2)</w:t>
        </w:r>
      </w:hyperlink>
      <w:r w:rsidRPr="00D349A5">
        <w:rPr>
          <w:rFonts w:ascii="Arial" w:eastAsia="Times New Roman" w:hAnsi="Arial" w:cs="Arial"/>
          <w:color w:val="333333"/>
          <w:sz w:val="24"/>
          <w:szCs w:val="24"/>
        </w:rPr>
        <w:t>), such corporation and any employee-owner (within the meaning of section 269A(b)(2), as modified by section 441(</w:t>
      </w:r>
      <w:proofErr w:type="spellStart"/>
      <w:r w:rsidRPr="00D349A5">
        <w:rPr>
          <w:rFonts w:ascii="Arial" w:eastAsia="Times New Roman" w:hAnsi="Arial" w:cs="Arial"/>
          <w:color w:val="333333"/>
          <w:sz w:val="24"/>
          <w:szCs w:val="24"/>
        </w:rPr>
        <w:t>i</w:t>
      </w:r>
      <w:proofErr w:type="spellEnd"/>
      <w:r w:rsidRPr="00D349A5">
        <w:rPr>
          <w:rFonts w:ascii="Arial" w:eastAsia="Times New Roman" w:hAnsi="Arial" w:cs="Arial"/>
          <w:color w:val="333333"/>
          <w:sz w:val="24"/>
          <w:szCs w:val="24"/>
        </w:rPr>
        <w:t>)(2)) shall be treated as persons specified in subsection (b).</w:t>
      </w:r>
    </w:p>
    <w:p w14:paraId="71CB2903" w14:textId="4BA63B96"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 w:name="a_3"/>
      <w:bookmarkEnd w:id="5"/>
      <w:r w:rsidRPr="00D349A5">
        <w:rPr>
          <w:rFonts w:ascii="Arial" w:eastAsia="Times New Roman" w:hAnsi="Arial" w:cs="Arial"/>
          <w:b/>
          <w:bCs/>
          <w:color w:val="333333"/>
          <w:sz w:val="24"/>
          <w:szCs w:val="24"/>
        </w:rPr>
        <w:t>(3)</w:t>
      </w:r>
      <w:r w:rsidRPr="00D349A5">
        <w:rPr>
          <w:rFonts w:ascii="Arial" w:eastAsia="Times New Roman" w:hAnsi="Arial" w:cs="Arial"/>
          <w:b/>
          <w:bCs/>
          <w:smallCaps/>
          <w:color w:val="333333"/>
          <w:sz w:val="24"/>
          <w:szCs w:val="24"/>
        </w:rPr>
        <w:t xml:space="preserve"> PAYMENTS to foreign persons</w:t>
      </w:r>
    </w:p>
    <w:p w14:paraId="19F15419" w14:textId="6F9BE815"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 w:name="a_3_A"/>
      <w:bookmarkEnd w:id="6"/>
      <w:r w:rsidRPr="00D349A5">
        <w:rPr>
          <w:rFonts w:ascii="Arial" w:eastAsia="Times New Roman" w:hAnsi="Arial" w:cs="Arial"/>
          <w:b/>
          <w:bCs/>
          <w:color w:val="333333"/>
          <w:sz w:val="24"/>
          <w:szCs w:val="24"/>
        </w:rPr>
        <w:t>(A)</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In general</w:t>
      </w:r>
    </w:p>
    <w:p w14:paraId="5A340E3C"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The Secretary shall by regulations apply the matching principle of paragraph (2) in cases in which the person to whom the payment is to be made is not a United States person.</w:t>
      </w:r>
    </w:p>
    <w:p w14:paraId="1A12F4C2" w14:textId="6EE196C9"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 w:name="a_3_B"/>
      <w:bookmarkEnd w:id="7"/>
      <w:r w:rsidRPr="00D349A5">
        <w:rPr>
          <w:rFonts w:ascii="Arial" w:eastAsia="Times New Roman" w:hAnsi="Arial" w:cs="Arial"/>
          <w:b/>
          <w:bCs/>
          <w:color w:val="333333"/>
          <w:sz w:val="24"/>
          <w:szCs w:val="24"/>
        </w:rPr>
        <w:t>(B)</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Special rule for certain foreign entities</w:t>
      </w:r>
    </w:p>
    <w:p w14:paraId="64446B99" w14:textId="7AF6F82E"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 w:name="a_3_B_i"/>
      <w:bookmarkEnd w:id="8"/>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In general</w:t>
      </w:r>
    </w:p>
    <w:p w14:paraId="2FE0C478"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Notwithstanding subparagraph (A), in the case of any item payable to a </w:t>
      </w:r>
      <w:hyperlink r:id="rId6" w:history="1">
        <w:r w:rsidRPr="00D349A5">
          <w:rPr>
            <w:rFonts w:ascii="Arial" w:eastAsia="Times New Roman" w:hAnsi="Arial" w:cs="Arial"/>
            <w:color w:val="0068AC"/>
            <w:sz w:val="24"/>
            <w:szCs w:val="24"/>
            <w:u w:val="single"/>
          </w:rPr>
          <w:t>controlled foreign corporation</w:t>
        </w:r>
      </w:hyperlink>
      <w:r w:rsidRPr="00D349A5">
        <w:rPr>
          <w:rFonts w:ascii="Arial" w:eastAsia="Times New Roman" w:hAnsi="Arial" w:cs="Arial"/>
          <w:color w:val="333333"/>
          <w:sz w:val="24"/>
          <w:szCs w:val="24"/>
        </w:rPr>
        <w:t> (as defined in </w:t>
      </w:r>
      <w:hyperlink r:id="rId7" w:history="1">
        <w:r w:rsidRPr="00D349A5">
          <w:rPr>
            <w:rFonts w:ascii="Arial" w:eastAsia="Times New Roman" w:hAnsi="Arial" w:cs="Arial"/>
            <w:color w:val="0068AC"/>
            <w:sz w:val="24"/>
            <w:szCs w:val="24"/>
            <w:u w:val="single"/>
          </w:rPr>
          <w:t>section 957</w:t>
        </w:r>
      </w:hyperlink>
      <w:r w:rsidRPr="00D349A5">
        <w:rPr>
          <w:rFonts w:ascii="Arial" w:eastAsia="Times New Roman" w:hAnsi="Arial" w:cs="Arial"/>
          <w:color w:val="333333"/>
          <w:sz w:val="24"/>
          <w:szCs w:val="24"/>
        </w:rPr>
        <w:t>) or a passive foreign investment company (as defined in section 1297), a deduction shall be allowable to the payor with respect to such amount for any taxable year before the taxable year in which paid only to the extent that an amount attributable to such item is includible (determined without regard to properly allocable deductions and qualified deficits under section 952(c)(1)(B)) during such prior taxable year in the gross income of a United States person who owns (within the meaning of section 958(a)) stock in such corporation.</w:t>
      </w:r>
    </w:p>
    <w:p w14:paraId="5CDDFB0C" w14:textId="7FD0232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9" w:name="a_3_B_ii"/>
      <w:bookmarkEnd w:id="9"/>
      <w:r w:rsidRPr="00D349A5">
        <w:rPr>
          <w:rFonts w:ascii="Arial" w:eastAsia="Times New Roman" w:hAnsi="Arial" w:cs="Arial"/>
          <w:b/>
          <w:bCs/>
          <w:color w:val="333333"/>
          <w:sz w:val="24"/>
          <w:szCs w:val="24"/>
        </w:rPr>
        <w:t>(ii)</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Secretarial authority</w:t>
      </w:r>
    </w:p>
    <w:p w14:paraId="4AF4D1D4" w14:textId="3CFEC89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The Secretary may by regulation exempt transactions from the application of clause (</w:t>
      </w:r>
      <w:proofErr w:type="spellStart"/>
      <w:r w:rsidRPr="00D349A5">
        <w:rPr>
          <w:rFonts w:ascii="Arial" w:eastAsia="Times New Roman" w:hAnsi="Arial" w:cs="Arial"/>
          <w:color w:val="333333"/>
          <w:sz w:val="24"/>
          <w:szCs w:val="24"/>
        </w:rPr>
        <w:t>i</w:t>
      </w:r>
      <w:proofErr w:type="spellEnd"/>
      <w:r w:rsidRPr="00D349A5">
        <w:rPr>
          <w:rFonts w:ascii="Arial" w:eastAsia="Times New Roman" w:hAnsi="Arial" w:cs="Arial"/>
          <w:color w:val="333333"/>
          <w:sz w:val="24"/>
          <w:szCs w:val="24"/>
        </w:rPr>
        <w:t>), including any transaction which is entered into by a payor in the ordinary course of a trade or business in which the payor is predominantly engaged and in which the payment of the accrued amounts occurs within 8½ months after accrual or within such other period as the Secretary may prescribe.</w:t>
      </w:r>
    </w:p>
    <w:p w14:paraId="2D227D05" w14:textId="51AF703D"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0" w:name="b"/>
      <w:bookmarkEnd w:id="10"/>
      <w:r w:rsidRPr="00D349A5">
        <w:rPr>
          <w:rFonts w:ascii="Arial" w:eastAsia="Times New Roman" w:hAnsi="Arial" w:cs="Arial"/>
          <w:b/>
          <w:bCs/>
          <w:color w:val="333333"/>
          <w:sz w:val="24"/>
          <w:szCs w:val="24"/>
        </w:rPr>
        <w:t>(b)</w:t>
      </w:r>
      <w:r w:rsidRPr="00D349A5">
        <w:rPr>
          <w:rFonts w:ascii="Arial" w:eastAsia="Times New Roman" w:hAnsi="Arial" w:cs="Arial"/>
          <w:b/>
          <w:bCs/>
          <w:smallCaps/>
          <w:color w:val="333333"/>
          <w:sz w:val="24"/>
          <w:szCs w:val="24"/>
        </w:rPr>
        <w:t>Relationships</w:t>
      </w:r>
      <w:r w:rsidRPr="00D349A5">
        <w:rPr>
          <w:rFonts w:ascii="Arial" w:eastAsia="Times New Roman" w:hAnsi="Arial" w:cs="Arial"/>
          <w:color w:val="333333"/>
          <w:sz w:val="24"/>
          <w:szCs w:val="24"/>
        </w:rPr>
        <w:t xml:space="preserve"> The persons referred to in subsection (a) are:</w:t>
      </w:r>
    </w:p>
    <w:p w14:paraId="1F22FBD7"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1" w:name="b_1"/>
      <w:bookmarkEnd w:id="11"/>
      <w:r w:rsidRPr="00D349A5">
        <w:rPr>
          <w:rFonts w:ascii="Arial" w:eastAsia="Times New Roman" w:hAnsi="Arial" w:cs="Arial"/>
          <w:b/>
          <w:bCs/>
          <w:color w:val="333333"/>
          <w:sz w:val="24"/>
          <w:szCs w:val="24"/>
        </w:rPr>
        <w:t>(1)</w:t>
      </w:r>
    </w:p>
    <w:p w14:paraId="1C242479"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lastRenderedPageBreak/>
        <w:t>Members of a family, as defined in subsection (c)(4</w:t>
      </w:r>
      <w:proofErr w:type="gramStart"/>
      <w:r w:rsidRPr="00D349A5">
        <w:rPr>
          <w:rFonts w:ascii="Arial" w:eastAsia="Times New Roman" w:hAnsi="Arial" w:cs="Arial"/>
          <w:color w:val="333333"/>
          <w:sz w:val="24"/>
          <w:szCs w:val="24"/>
        </w:rPr>
        <w:t>);</w:t>
      </w:r>
      <w:proofErr w:type="gramEnd"/>
    </w:p>
    <w:p w14:paraId="319806B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2" w:name="b_2"/>
      <w:bookmarkEnd w:id="12"/>
      <w:r w:rsidRPr="00D349A5">
        <w:rPr>
          <w:rFonts w:ascii="Arial" w:eastAsia="Times New Roman" w:hAnsi="Arial" w:cs="Arial"/>
          <w:b/>
          <w:bCs/>
          <w:color w:val="333333"/>
          <w:sz w:val="24"/>
          <w:szCs w:val="24"/>
        </w:rPr>
        <w:t>(2)</w:t>
      </w:r>
    </w:p>
    <w:p w14:paraId="3047066E"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An individual and a corporation more than 50 percent in value of the outstanding stock of which is owned, directly or indirectly, by or for such </w:t>
      </w:r>
      <w:proofErr w:type="gramStart"/>
      <w:r w:rsidRPr="00D349A5">
        <w:rPr>
          <w:rFonts w:ascii="Arial" w:eastAsia="Times New Roman" w:hAnsi="Arial" w:cs="Arial"/>
          <w:color w:val="333333"/>
          <w:sz w:val="24"/>
          <w:szCs w:val="24"/>
        </w:rPr>
        <w:t>individual;</w:t>
      </w:r>
      <w:proofErr w:type="gramEnd"/>
    </w:p>
    <w:p w14:paraId="2FCE8347"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3" w:name="b_3"/>
      <w:bookmarkEnd w:id="13"/>
      <w:r w:rsidRPr="00D349A5">
        <w:rPr>
          <w:rFonts w:ascii="Arial" w:eastAsia="Times New Roman" w:hAnsi="Arial" w:cs="Arial"/>
          <w:b/>
          <w:bCs/>
          <w:color w:val="333333"/>
          <w:sz w:val="24"/>
          <w:szCs w:val="24"/>
        </w:rPr>
        <w:t>(3)</w:t>
      </w:r>
    </w:p>
    <w:p w14:paraId="208F020D"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Two corporations which are members of the same </w:t>
      </w:r>
      <w:hyperlink r:id="rId8" w:history="1">
        <w:r w:rsidRPr="00D349A5">
          <w:rPr>
            <w:rFonts w:ascii="Arial" w:eastAsia="Times New Roman" w:hAnsi="Arial" w:cs="Arial"/>
            <w:color w:val="0068AC"/>
            <w:sz w:val="24"/>
            <w:szCs w:val="24"/>
            <w:u w:val="single"/>
          </w:rPr>
          <w:t>controlled group</w:t>
        </w:r>
      </w:hyperlink>
      <w:r w:rsidRPr="00D349A5">
        <w:rPr>
          <w:rFonts w:ascii="Arial" w:eastAsia="Times New Roman" w:hAnsi="Arial" w:cs="Arial"/>
          <w:color w:val="333333"/>
          <w:sz w:val="24"/>
          <w:szCs w:val="24"/>
        </w:rPr>
        <w:t> (as defined in subsection (f));</w:t>
      </w:r>
    </w:p>
    <w:p w14:paraId="294E7C99"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4" w:name="b_4"/>
      <w:bookmarkEnd w:id="14"/>
      <w:r w:rsidRPr="00D349A5">
        <w:rPr>
          <w:rFonts w:ascii="Arial" w:eastAsia="Times New Roman" w:hAnsi="Arial" w:cs="Arial"/>
          <w:b/>
          <w:bCs/>
          <w:color w:val="333333"/>
          <w:sz w:val="24"/>
          <w:szCs w:val="24"/>
        </w:rPr>
        <w:t>(4)</w:t>
      </w:r>
    </w:p>
    <w:p w14:paraId="430EC52F"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 grantor and a fiduciary of any </w:t>
      </w:r>
      <w:proofErr w:type="gramStart"/>
      <w:r w:rsidRPr="00D349A5">
        <w:rPr>
          <w:rFonts w:ascii="Arial" w:eastAsia="Times New Roman" w:hAnsi="Arial" w:cs="Arial"/>
          <w:color w:val="333333"/>
          <w:sz w:val="24"/>
          <w:szCs w:val="24"/>
        </w:rPr>
        <w:t>trust;</w:t>
      </w:r>
      <w:proofErr w:type="gramEnd"/>
    </w:p>
    <w:p w14:paraId="28AF807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5" w:name="b_5"/>
      <w:bookmarkEnd w:id="15"/>
      <w:r w:rsidRPr="00D349A5">
        <w:rPr>
          <w:rFonts w:ascii="Arial" w:eastAsia="Times New Roman" w:hAnsi="Arial" w:cs="Arial"/>
          <w:b/>
          <w:bCs/>
          <w:color w:val="333333"/>
          <w:sz w:val="24"/>
          <w:szCs w:val="24"/>
        </w:rPr>
        <w:t>(5)</w:t>
      </w:r>
    </w:p>
    <w:p w14:paraId="6FE0B171"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 fiduciary of a trust and a fiduciary of another trust, if the same person is a grantor of both </w:t>
      </w:r>
      <w:proofErr w:type="gramStart"/>
      <w:r w:rsidRPr="00D349A5">
        <w:rPr>
          <w:rFonts w:ascii="Arial" w:eastAsia="Times New Roman" w:hAnsi="Arial" w:cs="Arial"/>
          <w:color w:val="333333"/>
          <w:sz w:val="24"/>
          <w:szCs w:val="24"/>
        </w:rPr>
        <w:t>trusts;</w:t>
      </w:r>
      <w:proofErr w:type="gramEnd"/>
    </w:p>
    <w:p w14:paraId="1A043630"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6" w:name="b_6"/>
      <w:bookmarkEnd w:id="16"/>
      <w:r w:rsidRPr="00D349A5">
        <w:rPr>
          <w:rFonts w:ascii="Arial" w:eastAsia="Times New Roman" w:hAnsi="Arial" w:cs="Arial"/>
          <w:b/>
          <w:bCs/>
          <w:color w:val="333333"/>
          <w:sz w:val="24"/>
          <w:szCs w:val="24"/>
        </w:rPr>
        <w:t>(6)</w:t>
      </w:r>
    </w:p>
    <w:p w14:paraId="2E9F85E9"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 fiduciary of a trust and a beneficiary of such </w:t>
      </w:r>
      <w:proofErr w:type="gramStart"/>
      <w:r w:rsidRPr="00D349A5">
        <w:rPr>
          <w:rFonts w:ascii="Arial" w:eastAsia="Times New Roman" w:hAnsi="Arial" w:cs="Arial"/>
          <w:color w:val="333333"/>
          <w:sz w:val="24"/>
          <w:szCs w:val="24"/>
        </w:rPr>
        <w:t>trust;</w:t>
      </w:r>
      <w:proofErr w:type="gramEnd"/>
    </w:p>
    <w:p w14:paraId="38E11782"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7" w:name="b_7"/>
      <w:bookmarkEnd w:id="17"/>
      <w:r w:rsidRPr="00D349A5">
        <w:rPr>
          <w:rFonts w:ascii="Arial" w:eastAsia="Times New Roman" w:hAnsi="Arial" w:cs="Arial"/>
          <w:b/>
          <w:bCs/>
          <w:color w:val="333333"/>
          <w:sz w:val="24"/>
          <w:szCs w:val="24"/>
        </w:rPr>
        <w:t>(7)</w:t>
      </w:r>
    </w:p>
    <w:p w14:paraId="2E4FA43A"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 fiduciary of a trust and a beneficiary of another trust, if the same person is a grantor of both </w:t>
      </w:r>
      <w:proofErr w:type="gramStart"/>
      <w:r w:rsidRPr="00D349A5">
        <w:rPr>
          <w:rFonts w:ascii="Arial" w:eastAsia="Times New Roman" w:hAnsi="Arial" w:cs="Arial"/>
          <w:color w:val="333333"/>
          <w:sz w:val="24"/>
          <w:szCs w:val="24"/>
        </w:rPr>
        <w:t>trusts;</w:t>
      </w:r>
      <w:proofErr w:type="gramEnd"/>
    </w:p>
    <w:p w14:paraId="405C2248"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8" w:name="b_8"/>
      <w:bookmarkEnd w:id="18"/>
      <w:r w:rsidRPr="00D349A5">
        <w:rPr>
          <w:rFonts w:ascii="Arial" w:eastAsia="Times New Roman" w:hAnsi="Arial" w:cs="Arial"/>
          <w:b/>
          <w:bCs/>
          <w:color w:val="333333"/>
          <w:sz w:val="24"/>
          <w:szCs w:val="24"/>
        </w:rPr>
        <w:t>(8)</w:t>
      </w:r>
    </w:p>
    <w:p w14:paraId="299BFC80"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 fiduciary of a trust and a corporation more than 50 percent in value of the outstanding stock of which is owned, directly or indirectly, by or for the trust or by or for a person who is a grantor of the </w:t>
      </w:r>
      <w:proofErr w:type="gramStart"/>
      <w:r w:rsidRPr="00D349A5">
        <w:rPr>
          <w:rFonts w:ascii="Arial" w:eastAsia="Times New Roman" w:hAnsi="Arial" w:cs="Arial"/>
          <w:color w:val="333333"/>
          <w:sz w:val="24"/>
          <w:szCs w:val="24"/>
        </w:rPr>
        <w:t>trust;</w:t>
      </w:r>
      <w:proofErr w:type="gramEnd"/>
    </w:p>
    <w:p w14:paraId="603273E5"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19" w:name="b_9"/>
      <w:bookmarkEnd w:id="19"/>
      <w:r w:rsidRPr="00D349A5">
        <w:rPr>
          <w:rFonts w:ascii="Arial" w:eastAsia="Times New Roman" w:hAnsi="Arial" w:cs="Arial"/>
          <w:b/>
          <w:bCs/>
          <w:color w:val="333333"/>
          <w:sz w:val="24"/>
          <w:szCs w:val="24"/>
        </w:rPr>
        <w:t>(9)</w:t>
      </w:r>
    </w:p>
    <w:p w14:paraId="0A94F747"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 person and an organization to which section 501 (relating to certain educational and charitable organizations which are exempt from tax) applies and which is controlled directly or indirectly by such person or (if such person is an individual) by members of the family of such </w:t>
      </w:r>
      <w:proofErr w:type="gramStart"/>
      <w:r w:rsidRPr="00D349A5">
        <w:rPr>
          <w:rFonts w:ascii="Arial" w:eastAsia="Times New Roman" w:hAnsi="Arial" w:cs="Arial"/>
          <w:color w:val="333333"/>
          <w:sz w:val="24"/>
          <w:szCs w:val="24"/>
        </w:rPr>
        <w:t>individual;</w:t>
      </w:r>
      <w:proofErr w:type="gramEnd"/>
    </w:p>
    <w:p w14:paraId="0FDF2587"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0" w:name="b_10"/>
      <w:bookmarkEnd w:id="20"/>
      <w:r w:rsidRPr="00D349A5">
        <w:rPr>
          <w:rFonts w:ascii="Arial" w:eastAsia="Times New Roman" w:hAnsi="Arial" w:cs="Arial"/>
          <w:b/>
          <w:bCs/>
          <w:color w:val="333333"/>
          <w:sz w:val="24"/>
          <w:szCs w:val="24"/>
        </w:rPr>
        <w:t>(10)</w:t>
      </w:r>
      <w:r w:rsidRPr="00D349A5">
        <w:rPr>
          <w:rFonts w:ascii="Arial" w:eastAsia="Times New Roman" w:hAnsi="Arial" w:cs="Arial"/>
          <w:color w:val="333333"/>
          <w:sz w:val="24"/>
          <w:szCs w:val="24"/>
        </w:rPr>
        <w:t>A corporation and a partnership if the same persons own—</w:t>
      </w:r>
    </w:p>
    <w:p w14:paraId="7EAF717F"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1" w:name="b_10_A"/>
      <w:bookmarkEnd w:id="21"/>
      <w:r w:rsidRPr="00D349A5">
        <w:rPr>
          <w:rFonts w:ascii="Arial" w:eastAsia="Times New Roman" w:hAnsi="Arial" w:cs="Arial"/>
          <w:b/>
          <w:bCs/>
          <w:color w:val="333333"/>
          <w:sz w:val="24"/>
          <w:szCs w:val="24"/>
        </w:rPr>
        <w:t>(A)</w:t>
      </w:r>
    </w:p>
    <w:p w14:paraId="2BA223F4"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more than 50 percent in value of the outstanding stock of the corporation, and</w:t>
      </w:r>
    </w:p>
    <w:p w14:paraId="064A0336"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2" w:name="b_10_B"/>
      <w:bookmarkEnd w:id="22"/>
      <w:r w:rsidRPr="00D349A5">
        <w:rPr>
          <w:rFonts w:ascii="Arial" w:eastAsia="Times New Roman" w:hAnsi="Arial" w:cs="Arial"/>
          <w:b/>
          <w:bCs/>
          <w:color w:val="333333"/>
          <w:sz w:val="24"/>
          <w:szCs w:val="24"/>
        </w:rPr>
        <w:t>(B)</w:t>
      </w:r>
    </w:p>
    <w:p w14:paraId="6069F19A"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more than 50 percent of the capital </w:t>
      </w:r>
      <w:hyperlink r:id="rId9"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or the profits </w:t>
      </w:r>
      <w:hyperlink r:id="rId10"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in the partnership;</w:t>
      </w:r>
    </w:p>
    <w:p w14:paraId="5B66899E"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3" w:name="b_11"/>
      <w:bookmarkEnd w:id="23"/>
      <w:r w:rsidRPr="00D349A5">
        <w:rPr>
          <w:rFonts w:ascii="Arial" w:eastAsia="Times New Roman" w:hAnsi="Arial" w:cs="Arial"/>
          <w:b/>
          <w:bCs/>
          <w:color w:val="333333"/>
          <w:sz w:val="24"/>
          <w:szCs w:val="24"/>
        </w:rPr>
        <w:t>(11)</w:t>
      </w:r>
    </w:p>
    <w:p w14:paraId="07BA6917"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An S corporation and another S corporation if the same persons own more than 50 percent in value of the outstanding stock of each </w:t>
      </w:r>
      <w:proofErr w:type="gramStart"/>
      <w:r w:rsidRPr="00D349A5">
        <w:rPr>
          <w:rFonts w:ascii="Arial" w:eastAsia="Times New Roman" w:hAnsi="Arial" w:cs="Arial"/>
          <w:color w:val="333333"/>
          <w:sz w:val="24"/>
          <w:szCs w:val="24"/>
        </w:rPr>
        <w:t>corporation;</w:t>
      </w:r>
      <w:proofErr w:type="gramEnd"/>
    </w:p>
    <w:p w14:paraId="155E400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4" w:name="b_12"/>
      <w:bookmarkEnd w:id="24"/>
      <w:r w:rsidRPr="00D349A5">
        <w:rPr>
          <w:rFonts w:ascii="Arial" w:eastAsia="Times New Roman" w:hAnsi="Arial" w:cs="Arial"/>
          <w:b/>
          <w:bCs/>
          <w:color w:val="333333"/>
          <w:sz w:val="24"/>
          <w:szCs w:val="24"/>
        </w:rPr>
        <w:t>(12)</w:t>
      </w:r>
    </w:p>
    <w:p w14:paraId="5BCBB1AC"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 S corporation and a C corporation, if the same persons own more than 50 percent in value of the outstanding stock of each corporation; or</w:t>
      </w:r>
    </w:p>
    <w:p w14:paraId="306BFEDC"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5" w:name="b_13"/>
      <w:bookmarkEnd w:id="25"/>
      <w:r w:rsidRPr="00D349A5">
        <w:rPr>
          <w:rFonts w:ascii="Arial" w:eastAsia="Times New Roman" w:hAnsi="Arial" w:cs="Arial"/>
          <w:b/>
          <w:bCs/>
          <w:color w:val="333333"/>
          <w:sz w:val="24"/>
          <w:szCs w:val="24"/>
        </w:rPr>
        <w:t>(13)</w:t>
      </w:r>
    </w:p>
    <w:p w14:paraId="3A1CFC90"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Except in the case of a sale or exchange in satisfaction of a pecuniary bequest, an executor of an estate and a beneficiary of such estate.</w:t>
      </w:r>
    </w:p>
    <w:p w14:paraId="0511F476" w14:textId="348AC358"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6" w:name="c"/>
      <w:bookmarkEnd w:id="26"/>
      <w:r w:rsidRPr="00D349A5">
        <w:rPr>
          <w:rFonts w:ascii="Arial" w:eastAsia="Times New Roman" w:hAnsi="Arial" w:cs="Arial"/>
          <w:b/>
          <w:bCs/>
          <w:color w:val="333333"/>
          <w:sz w:val="24"/>
          <w:szCs w:val="24"/>
        </w:rPr>
        <w:t>(c)</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Constructive ownership of stock</w:t>
      </w:r>
      <w:r w:rsidRPr="00D349A5">
        <w:rPr>
          <w:rFonts w:ascii="Arial" w:eastAsia="Times New Roman" w:hAnsi="Arial" w:cs="Arial"/>
          <w:color w:val="333333"/>
          <w:sz w:val="24"/>
          <w:szCs w:val="24"/>
        </w:rPr>
        <w:t xml:space="preserve"> For purposes of determining, in applying subsection (b), the ownership of stock—</w:t>
      </w:r>
    </w:p>
    <w:p w14:paraId="1CDC05AC"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7" w:name="c_1"/>
      <w:bookmarkEnd w:id="27"/>
      <w:r w:rsidRPr="00D349A5">
        <w:rPr>
          <w:rFonts w:ascii="Arial" w:eastAsia="Times New Roman" w:hAnsi="Arial" w:cs="Arial"/>
          <w:b/>
          <w:bCs/>
          <w:color w:val="333333"/>
          <w:sz w:val="24"/>
          <w:szCs w:val="24"/>
        </w:rPr>
        <w:t>(1)</w:t>
      </w:r>
    </w:p>
    <w:p w14:paraId="3FD250CE"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Stock owned, directly or indirectly, by or for a corporation, partnership, estate, or trust shall be considered as being owned proportionately by or for its shareholders, partners, or </w:t>
      </w:r>
      <w:proofErr w:type="gramStart"/>
      <w:r w:rsidRPr="00D349A5">
        <w:rPr>
          <w:rFonts w:ascii="Arial" w:eastAsia="Times New Roman" w:hAnsi="Arial" w:cs="Arial"/>
          <w:color w:val="333333"/>
          <w:sz w:val="24"/>
          <w:szCs w:val="24"/>
        </w:rPr>
        <w:t>beneficiaries;</w:t>
      </w:r>
      <w:proofErr w:type="gramEnd"/>
    </w:p>
    <w:p w14:paraId="0272C6F5"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8" w:name="c_2"/>
      <w:bookmarkEnd w:id="28"/>
      <w:r w:rsidRPr="00D349A5">
        <w:rPr>
          <w:rFonts w:ascii="Arial" w:eastAsia="Times New Roman" w:hAnsi="Arial" w:cs="Arial"/>
          <w:b/>
          <w:bCs/>
          <w:color w:val="333333"/>
          <w:sz w:val="24"/>
          <w:szCs w:val="24"/>
        </w:rPr>
        <w:t>(2)</w:t>
      </w:r>
    </w:p>
    <w:p w14:paraId="0847497F"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An individual shall be considered as owning the stock owned, directly or indirectly, by or for his </w:t>
      </w:r>
      <w:proofErr w:type="gramStart"/>
      <w:r w:rsidRPr="00D349A5">
        <w:rPr>
          <w:rFonts w:ascii="Arial" w:eastAsia="Times New Roman" w:hAnsi="Arial" w:cs="Arial"/>
          <w:color w:val="333333"/>
          <w:sz w:val="24"/>
          <w:szCs w:val="24"/>
        </w:rPr>
        <w:t>family;</w:t>
      </w:r>
      <w:proofErr w:type="gramEnd"/>
    </w:p>
    <w:p w14:paraId="31DB5239"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29" w:name="c_3"/>
      <w:bookmarkEnd w:id="29"/>
      <w:r w:rsidRPr="00D349A5">
        <w:rPr>
          <w:rFonts w:ascii="Arial" w:eastAsia="Times New Roman" w:hAnsi="Arial" w:cs="Arial"/>
          <w:b/>
          <w:bCs/>
          <w:color w:val="333333"/>
          <w:sz w:val="24"/>
          <w:szCs w:val="24"/>
        </w:rPr>
        <w:t>(3)</w:t>
      </w:r>
    </w:p>
    <w:p w14:paraId="45EE314F"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An individual owning (otherwise than by the application of paragraph (2)) any stock in a corporation shall be considered as owning the stock owned, directly or indirectly, by or for his </w:t>
      </w:r>
      <w:proofErr w:type="gramStart"/>
      <w:r w:rsidRPr="00D349A5">
        <w:rPr>
          <w:rFonts w:ascii="Arial" w:eastAsia="Times New Roman" w:hAnsi="Arial" w:cs="Arial"/>
          <w:color w:val="333333"/>
          <w:sz w:val="24"/>
          <w:szCs w:val="24"/>
        </w:rPr>
        <w:t>partner;</w:t>
      </w:r>
      <w:proofErr w:type="gramEnd"/>
    </w:p>
    <w:p w14:paraId="5DE681C5"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0" w:name="c_4"/>
      <w:bookmarkEnd w:id="30"/>
      <w:r w:rsidRPr="00D349A5">
        <w:rPr>
          <w:rFonts w:ascii="Arial" w:eastAsia="Times New Roman" w:hAnsi="Arial" w:cs="Arial"/>
          <w:b/>
          <w:bCs/>
          <w:color w:val="333333"/>
          <w:sz w:val="24"/>
          <w:szCs w:val="24"/>
        </w:rPr>
        <w:t>(4)</w:t>
      </w:r>
    </w:p>
    <w:p w14:paraId="6F0D5175"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lastRenderedPageBreak/>
        <w:t xml:space="preserve">The family of an individual shall include only his brothers and sisters (whether by the whole or </w:t>
      </w:r>
      <w:proofErr w:type="spellStart"/>
      <w:r w:rsidRPr="00D349A5">
        <w:rPr>
          <w:rFonts w:ascii="Arial" w:eastAsia="Times New Roman" w:hAnsi="Arial" w:cs="Arial"/>
          <w:color w:val="333333"/>
          <w:sz w:val="24"/>
          <w:szCs w:val="24"/>
        </w:rPr>
        <w:t>half blood</w:t>
      </w:r>
      <w:proofErr w:type="spellEnd"/>
      <w:r w:rsidRPr="00D349A5">
        <w:rPr>
          <w:rFonts w:ascii="Arial" w:eastAsia="Times New Roman" w:hAnsi="Arial" w:cs="Arial"/>
          <w:color w:val="333333"/>
          <w:sz w:val="24"/>
          <w:szCs w:val="24"/>
        </w:rPr>
        <w:t>), spouse, ancestors, and lineal descendants; and</w:t>
      </w:r>
    </w:p>
    <w:p w14:paraId="6CFAEF1C"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1" w:name="c_5"/>
      <w:bookmarkEnd w:id="31"/>
      <w:r w:rsidRPr="00D349A5">
        <w:rPr>
          <w:rFonts w:ascii="Arial" w:eastAsia="Times New Roman" w:hAnsi="Arial" w:cs="Arial"/>
          <w:b/>
          <w:bCs/>
          <w:color w:val="333333"/>
          <w:sz w:val="24"/>
          <w:szCs w:val="24"/>
        </w:rPr>
        <w:t>(5)</w:t>
      </w:r>
    </w:p>
    <w:p w14:paraId="71B3FDE1"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Stock constructively owned by a person by reason of the application of paragraph (1) shall, for the purpose of applying paragraph (1), (2), or (3), be treated as actually owned by such person, but stock constructively owned by an individual by reason of the application of paragraph (2) or (3) shall not be treated as owned by him for the purpose of again applying either of such paragraphs in order to make another the constructive owner of such stock.</w:t>
      </w:r>
    </w:p>
    <w:p w14:paraId="211F928E" w14:textId="41711DDA"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2" w:name="d"/>
      <w:bookmarkEnd w:id="32"/>
      <w:r w:rsidRPr="00D349A5">
        <w:rPr>
          <w:rFonts w:ascii="Arial" w:eastAsia="Times New Roman" w:hAnsi="Arial" w:cs="Arial"/>
          <w:b/>
          <w:bCs/>
          <w:color w:val="333333"/>
          <w:sz w:val="24"/>
          <w:szCs w:val="24"/>
        </w:rPr>
        <w:t>(d)</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Amount of gain where loss previously disallowed</w:t>
      </w:r>
    </w:p>
    <w:p w14:paraId="53462821" w14:textId="11C10288"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3" w:name="d_1"/>
      <w:bookmarkEnd w:id="33"/>
      <w:r w:rsidRPr="00D349A5">
        <w:rPr>
          <w:rFonts w:ascii="Arial" w:eastAsia="Times New Roman" w:hAnsi="Arial" w:cs="Arial"/>
          <w:b/>
          <w:bCs/>
          <w:color w:val="333333"/>
          <w:sz w:val="24"/>
          <w:szCs w:val="24"/>
        </w:rPr>
        <w:t>(1)</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In GENERAL,</w:t>
      </w:r>
      <w:r w:rsidRPr="00D349A5">
        <w:rPr>
          <w:rFonts w:ascii="Arial" w:eastAsia="Times New Roman" w:hAnsi="Arial" w:cs="Arial"/>
          <w:color w:val="333333"/>
          <w:sz w:val="24"/>
          <w:szCs w:val="24"/>
        </w:rPr>
        <w:t xml:space="preserve"> If—</w:t>
      </w:r>
    </w:p>
    <w:p w14:paraId="457E4BF6"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4" w:name="d_1_A"/>
      <w:bookmarkEnd w:id="34"/>
      <w:r w:rsidRPr="00D349A5">
        <w:rPr>
          <w:rFonts w:ascii="Arial" w:eastAsia="Times New Roman" w:hAnsi="Arial" w:cs="Arial"/>
          <w:b/>
          <w:bCs/>
          <w:color w:val="333333"/>
          <w:sz w:val="24"/>
          <w:szCs w:val="24"/>
        </w:rPr>
        <w:t>(A)</w:t>
      </w:r>
    </w:p>
    <w:p w14:paraId="1934EB45"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in the case of a sale or exchange of property to the taxpayer a loss sustained by the transferor is not allowable to the transferor as a deduction by reason of subsection (a)(1), and</w:t>
      </w:r>
    </w:p>
    <w:p w14:paraId="1E3273CF"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5" w:name="d_1_B"/>
      <w:bookmarkEnd w:id="35"/>
      <w:r w:rsidRPr="00D349A5">
        <w:rPr>
          <w:rFonts w:ascii="Arial" w:eastAsia="Times New Roman" w:hAnsi="Arial" w:cs="Arial"/>
          <w:b/>
          <w:bCs/>
          <w:color w:val="333333"/>
          <w:sz w:val="24"/>
          <w:szCs w:val="24"/>
        </w:rPr>
        <w:t>(B)</w:t>
      </w:r>
    </w:p>
    <w:p w14:paraId="10919974"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the taxpayer sells or otherwise disposes of such property (or of other property the basis of which in the taxpayer’s hands is determined directly or indirectly by reference to such property) at a gain,</w:t>
      </w:r>
    </w:p>
    <w:p w14:paraId="3CB8B508"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then such gain shall be recognized only to the extent that it exceeds so much of such loss as is properly allocable to the property sold or otherwise disposed of by the taxpayer.</w:t>
      </w:r>
    </w:p>
    <w:p w14:paraId="1505CF19" w14:textId="51BF2C46"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6" w:name="d_2"/>
      <w:bookmarkEnd w:id="36"/>
      <w:r w:rsidRPr="00D349A5">
        <w:rPr>
          <w:rFonts w:ascii="Arial" w:eastAsia="Times New Roman" w:hAnsi="Arial" w:cs="Arial"/>
          <w:b/>
          <w:bCs/>
          <w:color w:val="333333"/>
          <w:sz w:val="24"/>
          <w:szCs w:val="24"/>
        </w:rPr>
        <w:t>(2)</w:t>
      </w:r>
      <w:r w:rsidRPr="00D349A5">
        <w:rPr>
          <w:rFonts w:ascii="Arial" w:eastAsia="Times New Roman" w:hAnsi="Arial" w:cs="Arial"/>
          <w:b/>
          <w:bCs/>
          <w:smallCaps/>
          <w:color w:val="333333"/>
          <w:sz w:val="24"/>
          <w:szCs w:val="24"/>
        </w:rPr>
        <w:t xml:space="preserve"> EXCEPTION for wash sales</w:t>
      </w:r>
    </w:p>
    <w:p w14:paraId="1AE6A7BC"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Paragraph (1) shall not apply if the loss sustained by the transferor is not allowable to the transferor as a deduction by reason of section 1091 (relating to wash sales).</w:t>
      </w:r>
    </w:p>
    <w:p w14:paraId="1DBD8CDF" w14:textId="454DA9FE"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7" w:name="d_3"/>
      <w:bookmarkEnd w:id="37"/>
      <w:r w:rsidRPr="00D349A5">
        <w:rPr>
          <w:rFonts w:ascii="Arial" w:eastAsia="Times New Roman" w:hAnsi="Arial" w:cs="Arial"/>
          <w:b/>
          <w:bCs/>
          <w:color w:val="333333"/>
          <w:sz w:val="24"/>
          <w:szCs w:val="24"/>
        </w:rPr>
        <w:t>(3)</w:t>
      </w:r>
      <w:r w:rsidRPr="00D349A5">
        <w:rPr>
          <w:rFonts w:ascii="Arial" w:eastAsia="Times New Roman" w:hAnsi="Arial" w:cs="Arial"/>
          <w:b/>
          <w:bCs/>
          <w:smallCaps/>
          <w:color w:val="333333"/>
          <w:sz w:val="24"/>
          <w:szCs w:val="24"/>
        </w:rPr>
        <w:t xml:space="preserve"> EXCEPTION for transfers from tax indifferent parties</w:t>
      </w:r>
    </w:p>
    <w:p w14:paraId="0BD21BFC"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Paragraph (1) shall not apply to the extent any loss sustained by the transferor (if allowed) would not be taken into account in determining a tax imposed under section </w:t>
      </w:r>
      <w:hyperlink r:id="rId11" w:history="1">
        <w:r w:rsidRPr="00D349A5">
          <w:rPr>
            <w:rFonts w:ascii="Arial" w:eastAsia="Times New Roman" w:hAnsi="Arial" w:cs="Arial"/>
            <w:color w:val="0068AC"/>
            <w:sz w:val="24"/>
            <w:szCs w:val="24"/>
            <w:u w:val="single"/>
          </w:rPr>
          <w:t>1</w:t>
        </w:r>
      </w:hyperlink>
      <w:r w:rsidRPr="00D349A5">
        <w:rPr>
          <w:rFonts w:ascii="Arial" w:eastAsia="Times New Roman" w:hAnsi="Arial" w:cs="Arial"/>
          <w:color w:val="333333"/>
          <w:sz w:val="24"/>
          <w:szCs w:val="24"/>
        </w:rPr>
        <w:t> or </w:t>
      </w:r>
      <w:hyperlink r:id="rId12" w:history="1">
        <w:r w:rsidRPr="00D349A5">
          <w:rPr>
            <w:rFonts w:ascii="Arial" w:eastAsia="Times New Roman" w:hAnsi="Arial" w:cs="Arial"/>
            <w:color w:val="0068AC"/>
            <w:sz w:val="24"/>
            <w:szCs w:val="24"/>
            <w:u w:val="single"/>
          </w:rPr>
          <w:t>11</w:t>
        </w:r>
      </w:hyperlink>
      <w:r w:rsidRPr="00D349A5">
        <w:rPr>
          <w:rFonts w:ascii="Arial" w:eastAsia="Times New Roman" w:hAnsi="Arial" w:cs="Arial"/>
          <w:color w:val="333333"/>
          <w:sz w:val="24"/>
          <w:szCs w:val="24"/>
        </w:rPr>
        <w:t> or a tax computed as provided by either of such sections.</w:t>
      </w:r>
    </w:p>
    <w:p w14:paraId="16884547" w14:textId="0552B898"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8" w:name="e"/>
      <w:bookmarkEnd w:id="38"/>
      <w:r w:rsidRPr="00D349A5">
        <w:rPr>
          <w:rFonts w:ascii="Arial" w:eastAsia="Times New Roman" w:hAnsi="Arial" w:cs="Arial"/>
          <w:b/>
          <w:bCs/>
          <w:color w:val="333333"/>
          <w:sz w:val="24"/>
          <w:szCs w:val="24"/>
        </w:rPr>
        <w:t>(e)</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Special rules for pass-thru entities</w:t>
      </w:r>
    </w:p>
    <w:p w14:paraId="04D66726" w14:textId="7D5D74B1"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39" w:name="e_1"/>
      <w:bookmarkEnd w:id="39"/>
      <w:r w:rsidRPr="00D349A5">
        <w:rPr>
          <w:rFonts w:ascii="Arial" w:eastAsia="Times New Roman" w:hAnsi="Arial" w:cs="Arial"/>
          <w:b/>
          <w:bCs/>
          <w:color w:val="333333"/>
          <w:sz w:val="24"/>
          <w:szCs w:val="24"/>
        </w:rPr>
        <w:t>(1)</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In general</w:t>
      </w:r>
      <w:r w:rsidRPr="00D349A5">
        <w:rPr>
          <w:rFonts w:ascii="Arial" w:eastAsia="Times New Roman" w:hAnsi="Arial" w:cs="Arial"/>
          <w:color w:val="333333"/>
          <w:sz w:val="24"/>
          <w:szCs w:val="24"/>
        </w:rPr>
        <w:t xml:space="preserve"> In the case of any amount paid or incurred by, to, or on behalf of, a </w:t>
      </w:r>
      <w:hyperlink r:id="rId13" w:history="1">
        <w:r w:rsidRPr="00D349A5">
          <w:rPr>
            <w:rFonts w:ascii="Arial" w:eastAsia="Times New Roman" w:hAnsi="Arial" w:cs="Arial"/>
            <w:color w:val="0068AC"/>
            <w:sz w:val="24"/>
            <w:szCs w:val="24"/>
            <w:u w:val="single"/>
          </w:rPr>
          <w:t>pass-thru entity</w:t>
        </w:r>
      </w:hyperlink>
      <w:r w:rsidRPr="00D349A5">
        <w:rPr>
          <w:rFonts w:ascii="Arial" w:eastAsia="Times New Roman" w:hAnsi="Arial" w:cs="Arial"/>
          <w:color w:val="333333"/>
          <w:sz w:val="24"/>
          <w:szCs w:val="24"/>
        </w:rPr>
        <w:t>, for purposes of applying subsection (a)(2)—</w:t>
      </w:r>
    </w:p>
    <w:p w14:paraId="303FD2AE"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0" w:name="e_1_A"/>
      <w:bookmarkEnd w:id="40"/>
      <w:r w:rsidRPr="00D349A5">
        <w:rPr>
          <w:rFonts w:ascii="Arial" w:eastAsia="Times New Roman" w:hAnsi="Arial" w:cs="Arial"/>
          <w:b/>
          <w:bCs/>
          <w:color w:val="333333"/>
          <w:sz w:val="24"/>
          <w:szCs w:val="24"/>
        </w:rPr>
        <w:t>(A)</w:t>
      </w:r>
    </w:p>
    <w:p w14:paraId="1B8227B1"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entity,</w:t>
      </w:r>
    </w:p>
    <w:p w14:paraId="6B3979E7"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1" w:name="e_1_B"/>
      <w:bookmarkEnd w:id="41"/>
      <w:r w:rsidRPr="00D349A5">
        <w:rPr>
          <w:rFonts w:ascii="Arial" w:eastAsia="Times New Roman" w:hAnsi="Arial" w:cs="Arial"/>
          <w:b/>
          <w:bCs/>
          <w:color w:val="333333"/>
          <w:sz w:val="24"/>
          <w:szCs w:val="24"/>
        </w:rPr>
        <w:t>(B)</w:t>
      </w:r>
      <w:r w:rsidRPr="00D349A5">
        <w:rPr>
          <w:rFonts w:ascii="Arial" w:eastAsia="Times New Roman" w:hAnsi="Arial" w:cs="Arial"/>
          <w:color w:val="333333"/>
          <w:sz w:val="24"/>
          <w:szCs w:val="24"/>
        </w:rPr>
        <w:t>in the case of—</w:t>
      </w:r>
    </w:p>
    <w:p w14:paraId="1706937F"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2" w:name="e_1_B_i"/>
      <w:bookmarkEnd w:id="42"/>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p>
    <w:p w14:paraId="72553D49"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 partnership, any person who owns (directly or indirectly) any capital </w:t>
      </w:r>
      <w:hyperlink r:id="rId14"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or profits </w:t>
      </w:r>
      <w:hyperlink r:id="rId15"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of such partnership, or</w:t>
      </w:r>
    </w:p>
    <w:p w14:paraId="4B1D04A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3" w:name="e_1_B_ii"/>
      <w:bookmarkEnd w:id="43"/>
      <w:r w:rsidRPr="00D349A5">
        <w:rPr>
          <w:rFonts w:ascii="Arial" w:eastAsia="Times New Roman" w:hAnsi="Arial" w:cs="Arial"/>
          <w:b/>
          <w:bCs/>
          <w:color w:val="333333"/>
          <w:sz w:val="24"/>
          <w:szCs w:val="24"/>
        </w:rPr>
        <w:t>(ii)</w:t>
      </w:r>
    </w:p>
    <w:p w14:paraId="3348E45F"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 S corporation, any person who owns (directly or indirectly) any of the stock of such corporation,</w:t>
      </w:r>
    </w:p>
    <w:p w14:paraId="0E6DD899"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4" w:name="e_1_C"/>
      <w:bookmarkEnd w:id="44"/>
      <w:r w:rsidRPr="00D349A5">
        <w:rPr>
          <w:rFonts w:ascii="Arial" w:eastAsia="Times New Roman" w:hAnsi="Arial" w:cs="Arial"/>
          <w:b/>
          <w:bCs/>
          <w:color w:val="333333"/>
          <w:sz w:val="24"/>
          <w:szCs w:val="24"/>
        </w:rPr>
        <w:t>(C)</w:t>
      </w:r>
    </w:p>
    <w:p w14:paraId="271B0F05"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any person who owns (directly or indirectly) any capital </w:t>
      </w:r>
      <w:hyperlink r:id="rId16"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or profits </w:t>
      </w:r>
      <w:hyperlink r:id="rId17"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of a partnership in which such entity owns (directly or indirectly) any capital </w:t>
      </w:r>
      <w:hyperlink r:id="rId18"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or profits </w:t>
      </w:r>
      <w:hyperlink r:id="rId19"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and</w:t>
      </w:r>
    </w:p>
    <w:p w14:paraId="541BF773"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5" w:name="e_1_D"/>
      <w:bookmarkEnd w:id="45"/>
      <w:r w:rsidRPr="00D349A5">
        <w:rPr>
          <w:rFonts w:ascii="Arial" w:eastAsia="Times New Roman" w:hAnsi="Arial" w:cs="Arial"/>
          <w:b/>
          <w:bCs/>
          <w:color w:val="333333"/>
          <w:sz w:val="24"/>
          <w:szCs w:val="24"/>
        </w:rPr>
        <w:t>(D)</w:t>
      </w:r>
    </w:p>
    <w:p w14:paraId="4FF0DF4D"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any person related (within the meaning of subsection (b) of this section or </w:t>
      </w:r>
      <w:hyperlink r:id="rId20" w:anchor="b_1" w:history="1">
        <w:r w:rsidRPr="00D349A5">
          <w:rPr>
            <w:rFonts w:ascii="Arial" w:eastAsia="Times New Roman" w:hAnsi="Arial" w:cs="Arial"/>
            <w:color w:val="0068AC"/>
            <w:sz w:val="24"/>
            <w:szCs w:val="24"/>
            <w:u w:val="single"/>
          </w:rPr>
          <w:t>section 707(b)(1)</w:t>
        </w:r>
      </w:hyperlink>
      <w:r w:rsidRPr="00D349A5">
        <w:rPr>
          <w:rFonts w:ascii="Arial" w:eastAsia="Times New Roman" w:hAnsi="Arial" w:cs="Arial"/>
          <w:color w:val="333333"/>
          <w:sz w:val="24"/>
          <w:szCs w:val="24"/>
        </w:rPr>
        <w:t>) to a person described in subparagraph (B) or (C),</w:t>
      </w:r>
    </w:p>
    <w:p w14:paraId="66B375B8"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shall be treated as persons specified in a paragraph of subsection (b). Subparagraph (C) shall apply to a transaction only if such transaction is related either to the operations of the partnership described in such subparagraph or to an </w:t>
      </w:r>
      <w:hyperlink r:id="rId21"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in such partnership.</w:t>
      </w:r>
    </w:p>
    <w:p w14:paraId="0DB81180" w14:textId="2DC032FF"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6" w:name="e_2"/>
      <w:bookmarkEnd w:id="46"/>
      <w:r w:rsidRPr="00D349A5">
        <w:rPr>
          <w:rFonts w:ascii="Arial" w:eastAsia="Times New Roman" w:hAnsi="Arial" w:cs="Arial"/>
          <w:b/>
          <w:bCs/>
          <w:color w:val="333333"/>
          <w:sz w:val="24"/>
          <w:szCs w:val="24"/>
        </w:rPr>
        <w:t>(2)</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Pass-thru entity</w:t>
      </w:r>
      <w:r w:rsidRPr="00D349A5">
        <w:rPr>
          <w:rFonts w:ascii="Arial" w:eastAsia="Times New Roman" w:hAnsi="Arial" w:cs="Arial"/>
          <w:color w:val="333333"/>
          <w:sz w:val="24"/>
          <w:szCs w:val="24"/>
        </w:rPr>
        <w:t xml:space="preserve"> For purposes of this section, the term “</w:t>
      </w:r>
      <w:hyperlink r:id="rId22" w:history="1">
        <w:r w:rsidRPr="00D349A5">
          <w:rPr>
            <w:rFonts w:ascii="Arial" w:eastAsia="Times New Roman" w:hAnsi="Arial" w:cs="Arial"/>
            <w:color w:val="0068AC"/>
            <w:sz w:val="24"/>
            <w:szCs w:val="24"/>
            <w:u w:val="single"/>
          </w:rPr>
          <w:t>pass-thru entity</w:t>
        </w:r>
      </w:hyperlink>
      <w:r w:rsidRPr="00D349A5">
        <w:rPr>
          <w:rFonts w:ascii="Arial" w:eastAsia="Times New Roman" w:hAnsi="Arial" w:cs="Arial"/>
          <w:color w:val="333333"/>
          <w:sz w:val="24"/>
          <w:szCs w:val="24"/>
        </w:rPr>
        <w:t>” means—</w:t>
      </w:r>
    </w:p>
    <w:p w14:paraId="6984266D"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7" w:name="e_2_A"/>
      <w:bookmarkEnd w:id="47"/>
      <w:r w:rsidRPr="00D349A5">
        <w:rPr>
          <w:rFonts w:ascii="Arial" w:eastAsia="Times New Roman" w:hAnsi="Arial" w:cs="Arial"/>
          <w:b/>
          <w:bCs/>
          <w:color w:val="333333"/>
          <w:sz w:val="24"/>
          <w:szCs w:val="24"/>
        </w:rPr>
        <w:t>(A)</w:t>
      </w:r>
    </w:p>
    <w:p w14:paraId="0DC31604"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 partnership, and</w:t>
      </w:r>
    </w:p>
    <w:p w14:paraId="103058F2"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8" w:name="e_2_B"/>
      <w:bookmarkEnd w:id="48"/>
      <w:r w:rsidRPr="00D349A5">
        <w:rPr>
          <w:rFonts w:ascii="Arial" w:eastAsia="Times New Roman" w:hAnsi="Arial" w:cs="Arial"/>
          <w:b/>
          <w:bCs/>
          <w:color w:val="333333"/>
          <w:sz w:val="24"/>
          <w:szCs w:val="24"/>
        </w:rPr>
        <w:lastRenderedPageBreak/>
        <w:t>(B)</w:t>
      </w:r>
    </w:p>
    <w:p w14:paraId="29D0E5F3"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 S corporation.</w:t>
      </w:r>
    </w:p>
    <w:p w14:paraId="4E12714B" w14:textId="1C064678"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49" w:name="e_3"/>
      <w:bookmarkEnd w:id="49"/>
      <w:r w:rsidRPr="00D349A5">
        <w:rPr>
          <w:rFonts w:ascii="Arial" w:eastAsia="Times New Roman" w:hAnsi="Arial" w:cs="Arial"/>
          <w:b/>
          <w:bCs/>
          <w:color w:val="333333"/>
          <w:sz w:val="24"/>
          <w:szCs w:val="24"/>
        </w:rPr>
        <w:t>(3)</w:t>
      </w:r>
      <w:r w:rsidRPr="00D349A5">
        <w:rPr>
          <w:rFonts w:ascii="Arial" w:eastAsia="Times New Roman" w:hAnsi="Arial" w:cs="Arial"/>
          <w:b/>
          <w:bCs/>
          <w:smallCaps/>
          <w:color w:val="333333"/>
          <w:sz w:val="24"/>
          <w:szCs w:val="24"/>
        </w:rPr>
        <w:t>Constructive ownership in the case of partnerships</w:t>
      </w:r>
      <w:r w:rsidRPr="00D349A5">
        <w:rPr>
          <w:rFonts w:ascii="Arial" w:eastAsia="Times New Roman" w:hAnsi="Arial" w:cs="Arial"/>
          <w:color w:val="333333"/>
          <w:sz w:val="24"/>
          <w:szCs w:val="24"/>
        </w:rPr>
        <w:t xml:space="preserve"> For purposes of determining ownership of a capital </w:t>
      </w:r>
      <w:hyperlink r:id="rId23"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or profits </w:t>
      </w:r>
      <w:hyperlink r:id="rId24"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of a partnership, the principles of subsection (c) shall apply, except that—</w:t>
      </w:r>
    </w:p>
    <w:p w14:paraId="3491382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0" w:name="e_3_A"/>
      <w:bookmarkEnd w:id="50"/>
      <w:r w:rsidRPr="00D349A5">
        <w:rPr>
          <w:rFonts w:ascii="Arial" w:eastAsia="Times New Roman" w:hAnsi="Arial" w:cs="Arial"/>
          <w:b/>
          <w:bCs/>
          <w:color w:val="333333"/>
          <w:sz w:val="24"/>
          <w:szCs w:val="24"/>
        </w:rPr>
        <w:t>(A)</w:t>
      </w:r>
    </w:p>
    <w:p w14:paraId="42248F01"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paragraph (3) of subsection (c) shall not apply, and</w:t>
      </w:r>
    </w:p>
    <w:p w14:paraId="0F8EFAD9"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1" w:name="e_3_B"/>
      <w:bookmarkEnd w:id="51"/>
      <w:r w:rsidRPr="00D349A5">
        <w:rPr>
          <w:rFonts w:ascii="Arial" w:eastAsia="Times New Roman" w:hAnsi="Arial" w:cs="Arial"/>
          <w:b/>
          <w:bCs/>
          <w:color w:val="333333"/>
          <w:sz w:val="24"/>
          <w:szCs w:val="24"/>
        </w:rPr>
        <w:t>(B)</w:t>
      </w:r>
    </w:p>
    <w:p w14:paraId="7B3A165E" w14:textId="77777777" w:rsidR="00D349A5" w:rsidRPr="00D349A5" w:rsidRDefault="00742324" w:rsidP="00D349A5">
      <w:pPr>
        <w:shd w:val="clear" w:color="auto" w:fill="FFFFFF"/>
        <w:spacing w:after="60" w:line="240" w:lineRule="auto"/>
        <w:rPr>
          <w:rFonts w:ascii="Arial" w:eastAsia="Times New Roman" w:hAnsi="Arial" w:cs="Arial"/>
          <w:color w:val="333333"/>
          <w:sz w:val="24"/>
          <w:szCs w:val="24"/>
        </w:rPr>
      </w:pPr>
      <w:hyperlink r:id="rId25" w:history="1">
        <w:r w:rsidR="00D349A5" w:rsidRPr="00D349A5">
          <w:rPr>
            <w:rFonts w:ascii="Arial" w:eastAsia="Times New Roman" w:hAnsi="Arial" w:cs="Arial"/>
            <w:color w:val="0068AC"/>
            <w:sz w:val="24"/>
            <w:szCs w:val="24"/>
            <w:u w:val="single"/>
          </w:rPr>
          <w:t>interests</w:t>
        </w:r>
      </w:hyperlink>
      <w:r w:rsidR="00D349A5" w:rsidRPr="00D349A5">
        <w:rPr>
          <w:rFonts w:ascii="Arial" w:eastAsia="Times New Roman" w:hAnsi="Arial" w:cs="Arial"/>
          <w:color w:val="333333"/>
          <w:sz w:val="24"/>
          <w:szCs w:val="24"/>
        </w:rPr>
        <w:t> owned (directly or indirectly) by or for a C corporation shall be considered as owned by or for any shareholder only if such shareholder owns (directly or indirectly) 5 percent or more in value of the stock of such corporation.</w:t>
      </w:r>
    </w:p>
    <w:p w14:paraId="7E79158C" w14:textId="6ADFFB7F"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2" w:name="e_4"/>
      <w:bookmarkEnd w:id="52"/>
      <w:r w:rsidRPr="00D349A5">
        <w:rPr>
          <w:rFonts w:ascii="Arial" w:eastAsia="Times New Roman" w:hAnsi="Arial" w:cs="Arial"/>
          <w:b/>
          <w:bCs/>
          <w:color w:val="333333"/>
          <w:sz w:val="24"/>
          <w:szCs w:val="24"/>
        </w:rPr>
        <w:t>(4)</w:t>
      </w:r>
      <w:r w:rsidRPr="00D349A5">
        <w:rPr>
          <w:rFonts w:ascii="Arial" w:eastAsia="Times New Roman" w:hAnsi="Arial" w:cs="Arial"/>
          <w:b/>
          <w:bCs/>
          <w:smallCaps/>
          <w:color w:val="333333"/>
          <w:sz w:val="24"/>
          <w:szCs w:val="24"/>
        </w:rPr>
        <w:t xml:space="preserve"> SUBSECTION (a)(2) not to apply to certain guaranteed payments of partnerships</w:t>
      </w:r>
    </w:p>
    <w:p w14:paraId="063C9060"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In the case of any amount paid or incurred by a partnership, subsection (a)(2) shall not apply to the extent that </w:t>
      </w:r>
      <w:hyperlink r:id="rId26" w:anchor="c" w:history="1">
        <w:r w:rsidRPr="00D349A5">
          <w:rPr>
            <w:rFonts w:ascii="Arial" w:eastAsia="Times New Roman" w:hAnsi="Arial" w:cs="Arial"/>
            <w:color w:val="0068AC"/>
            <w:sz w:val="24"/>
            <w:szCs w:val="24"/>
            <w:u w:val="single"/>
          </w:rPr>
          <w:t>section 707(c)</w:t>
        </w:r>
      </w:hyperlink>
      <w:r w:rsidRPr="00D349A5">
        <w:rPr>
          <w:rFonts w:ascii="Arial" w:eastAsia="Times New Roman" w:hAnsi="Arial" w:cs="Arial"/>
          <w:color w:val="333333"/>
          <w:sz w:val="24"/>
          <w:szCs w:val="24"/>
        </w:rPr>
        <w:t> applies to such amount.</w:t>
      </w:r>
    </w:p>
    <w:p w14:paraId="5C7B77BC" w14:textId="1D9042E1"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3" w:name="e_5"/>
      <w:bookmarkEnd w:id="53"/>
      <w:r w:rsidRPr="00D349A5">
        <w:rPr>
          <w:rFonts w:ascii="Arial" w:eastAsia="Times New Roman" w:hAnsi="Arial" w:cs="Arial"/>
          <w:b/>
          <w:bCs/>
          <w:color w:val="333333"/>
          <w:sz w:val="24"/>
          <w:szCs w:val="24"/>
        </w:rPr>
        <w:t>(5)</w:t>
      </w:r>
      <w:r w:rsidRPr="00D349A5">
        <w:rPr>
          <w:rFonts w:ascii="Arial" w:eastAsia="Times New Roman" w:hAnsi="Arial" w:cs="Arial"/>
          <w:b/>
          <w:bCs/>
          <w:smallCaps/>
          <w:color w:val="333333"/>
          <w:sz w:val="24"/>
          <w:szCs w:val="24"/>
        </w:rPr>
        <w:t xml:space="preserve"> EXCEPTION for certain expenses and interest of partnerships owning low-income housing</w:t>
      </w:r>
    </w:p>
    <w:p w14:paraId="07AD3E5E" w14:textId="1810B2ED"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4" w:name="e_5_A"/>
      <w:bookmarkEnd w:id="54"/>
      <w:r w:rsidRPr="00D349A5">
        <w:rPr>
          <w:rFonts w:ascii="Arial" w:eastAsia="Times New Roman" w:hAnsi="Arial" w:cs="Arial"/>
          <w:b/>
          <w:bCs/>
          <w:color w:val="333333"/>
          <w:sz w:val="24"/>
          <w:szCs w:val="24"/>
        </w:rPr>
        <w:t>(A)In general</w:t>
      </w:r>
      <w:r w:rsidRPr="00D349A5">
        <w:rPr>
          <w:rFonts w:ascii="Arial" w:eastAsia="Times New Roman" w:hAnsi="Arial" w:cs="Arial"/>
          <w:color w:val="333333"/>
          <w:sz w:val="24"/>
          <w:szCs w:val="24"/>
        </w:rPr>
        <w:t xml:space="preserve"> This subsection shall not apply with respect to </w:t>
      </w:r>
      <w:hyperlink r:id="rId27" w:history="1">
        <w:r w:rsidRPr="00D349A5">
          <w:rPr>
            <w:rFonts w:ascii="Arial" w:eastAsia="Times New Roman" w:hAnsi="Arial" w:cs="Arial"/>
            <w:color w:val="0068AC"/>
            <w:sz w:val="24"/>
            <w:szCs w:val="24"/>
            <w:u w:val="single"/>
          </w:rPr>
          <w:t>qualified expenses and interest</w:t>
        </w:r>
      </w:hyperlink>
      <w:r w:rsidRPr="00D349A5">
        <w:rPr>
          <w:rFonts w:ascii="Arial" w:eastAsia="Times New Roman" w:hAnsi="Arial" w:cs="Arial"/>
          <w:color w:val="333333"/>
          <w:sz w:val="24"/>
          <w:szCs w:val="24"/>
        </w:rPr>
        <w:t> paid or incurred by a partnership owning</w:t>
      </w:r>
      <w:hyperlink r:id="rId28" w:history="1">
        <w:r w:rsidRPr="00D349A5">
          <w:rPr>
            <w:rFonts w:ascii="Arial" w:eastAsia="Times New Roman" w:hAnsi="Arial" w:cs="Arial"/>
            <w:color w:val="0068AC"/>
            <w:sz w:val="24"/>
            <w:szCs w:val="24"/>
            <w:u w:val="single"/>
          </w:rPr>
          <w:t> low-income housing </w:t>
        </w:r>
      </w:hyperlink>
      <w:r w:rsidRPr="00D349A5">
        <w:rPr>
          <w:rFonts w:ascii="Arial" w:eastAsia="Times New Roman" w:hAnsi="Arial" w:cs="Arial"/>
          <w:color w:val="333333"/>
          <w:sz w:val="24"/>
          <w:szCs w:val="24"/>
        </w:rPr>
        <w:t>to—</w:t>
      </w:r>
    </w:p>
    <w:p w14:paraId="1C3E522D"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5" w:name="e_5_A_i"/>
      <w:bookmarkEnd w:id="55"/>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p>
    <w:p w14:paraId="1DE33A67"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any </w:t>
      </w:r>
      <w:hyperlink r:id="rId29" w:history="1">
        <w:r w:rsidRPr="00D349A5">
          <w:rPr>
            <w:rFonts w:ascii="Arial" w:eastAsia="Times New Roman" w:hAnsi="Arial" w:cs="Arial"/>
            <w:color w:val="0068AC"/>
            <w:sz w:val="24"/>
            <w:szCs w:val="24"/>
            <w:u w:val="single"/>
          </w:rPr>
          <w:t>qualified 5-percent or less partner</w:t>
        </w:r>
      </w:hyperlink>
      <w:r w:rsidRPr="00D349A5">
        <w:rPr>
          <w:rFonts w:ascii="Arial" w:eastAsia="Times New Roman" w:hAnsi="Arial" w:cs="Arial"/>
          <w:color w:val="333333"/>
          <w:sz w:val="24"/>
          <w:szCs w:val="24"/>
        </w:rPr>
        <w:t> of such partnership, or</w:t>
      </w:r>
    </w:p>
    <w:p w14:paraId="314441C8"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6" w:name="e_5_A_ii"/>
      <w:bookmarkEnd w:id="56"/>
      <w:r w:rsidRPr="00D349A5">
        <w:rPr>
          <w:rFonts w:ascii="Arial" w:eastAsia="Times New Roman" w:hAnsi="Arial" w:cs="Arial"/>
          <w:b/>
          <w:bCs/>
          <w:color w:val="333333"/>
          <w:sz w:val="24"/>
          <w:szCs w:val="24"/>
        </w:rPr>
        <w:t>(ii)</w:t>
      </w:r>
    </w:p>
    <w:p w14:paraId="229C709F"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any person related (within the meaning of subsection (b) of this section or </w:t>
      </w:r>
      <w:hyperlink r:id="rId30" w:anchor="b_1" w:history="1">
        <w:r w:rsidRPr="00D349A5">
          <w:rPr>
            <w:rFonts w:ascii="Arial" w:eastAsia="Times New Roman" w:hAnsi="Arial" w:cs="Arial"/>
            <w:color w:val="0068AC"/>
            <w:sz w:val="24"/>
            <w:szCs w:val="24"/>
            <w:u w:val="single"/>
          </w:rPr>
          <w:t>section 707(b)(1)</w:t>
        </w:r>
      </w:hyperlink>
      <w:r w:rsidRPr="00D349A5">
        <w:rPr>
          <w:rFonts w:ascii="Arial" w:eastAsia="Times New Roman" w:hAnsi="Arial" w:cs="Arial"/>
          <w:color w:val="333333"/>
          <w:sz w:val="24"/>
          <w:szCs w:val="24"/>
        </w:rPr>
        <w:t>) to any</w:t>
      </w:r>
      <w:hyperlink r:id="rId31" w:history="1">
        <w:r w:rsidRPr="00D349A5">
          <w:rPr>
            <w:rFonts w:ascii="Arial" w:eastAsia="Times New Roman" w:hAnsi="Arial" w:cs="Arial"/>
            <w:color w:val="0068AC"/>
            <w:sz w:val="24"/>
            <w:szCs w:val="24"/>
            <w:u w:val="single"/>
          </w:rPr>
          <w:t> qualified 5-percent or less partner </w:t>
        </w:r>
      </w:hyperlink>
      <w:r w:rsidRPr="00D349A5">
        <w:rPr>
          <w:rFonts w:ascii="Arial" w:eastAsia="Times New Roman" w:hAnsi="Arial" w:cs="Arial"/>
          <w:color w:val="333333"/>
          <w:sz w:val="24"/>
          <w:szCs w:val="24"/>
        </w:rPr>
        <w:t>of such partnership.</w:t>
      </w:r>
    </w:p>
    <w:p w14:paraId="66994ADE" w14:textId="00B00A2A"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7" w:name="e_5_B"/>
      <w:bookmarkEnd w:id="57"/>
      <w:r w:rsidRPr="00D349A5">
        <w:rPr>
          <w:rFonts w:ascii="Arial" w:eastAsia="Times New Roman" w:hAnsi="Arial" w:cs="Arial"/>
          <w:b/>
          <w:bCs/>
          <w:color w:val="333333"/>
          <w:sz w:val="24"/>
          <w:szCs w:val="24"/>
        </w:rPr>
        <w:t>(B)</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Qualified 5-percent or less partner</w:t>
      </w:r>
      <w:r w:rsidRPr="00D349A5">
        <w:rPr>
          <w:rFonts w:ascii="Arial" w:eastAsia="Times New Roman" w:hAnsi="Arial" w:cs="Arial"/>
          <w:color w:val="333333"/>
          <w:sz w:val="24"/>
          <w:szCs w:val="24"/>
        </w:rPr>
        <w:t xml:space="preserve"> For purposes of this paragraph, the term “</w:t>
      </w:r>
      <w:hyperlink r:id="rId32" w:history="1">
        <w:r w:rsidRPr="00D349A5">
          <w:rPr>
            <w:rFonts w:ascii="Arial" w:eastAsia="Times New Roman" w:hAnsi="Arial" w:cs="Arial"/>
            <w:color w:val="0068AC"/>
            <w:sz w:val="24"/>
            <w:szCs w:val="24"/>
            <w:u w:val="single"/>
          </w:rPr>
          <w:t>qualified 5-percent or less partner</w:t>
        </w:r>
      </w:hyperlink>
      <w:r w:rsidRPr="00D349A5">
        <w:rPr>
          <w:rFonts w:ascii="Arial" w:eastAsia="Times New Roman" w:hAnsi="Arial" w:cs="Arial"/>
          <w:color w:val="333333"/>
          <w:sz w:val="24"/>
          <w:szCs w:val="24"/>
        </w:rPr>
        <w:t>” means any partner who has (directly or indirectly) an</w:t>
      </w:r>
      <w:hyperlink r:id="rId33" w:history="1">
        <w:r w:rsidRPr="00D349A5">
          <w:rPr>
            <w:rFonts w:ascii="Arial" w:eastAsia="Times New Roman" w:hAnsi="Arial" w:cs="Arial"/>
            <w:color w:val="0068AC"/>
            <w:sz w:val="24"/>
            <w:szCs w:val="24"/>
            <w:u w:val="single"/>
          </w:rPr>
          <w:t> interest </w:t>
        </w:r>
      </w:hyperlink>
      <w:r w:rsidRPr="00D349A5">
        <w:rPr>
          <w:rFonts w:ascii="Arial" w:eastAsia="Times New Roman" w:hAnsi="Arial" w:cs="Arial"/>
          <w:color w:val="333333"/>
          <w:sz w:val="24"/>
          <w:szCs w:val="24"/>
        </w:rPr>
        <w:t>of 5 percent or less in the aggregate capital and profits</w:t>
      </w:r>
      <w:hyperlink r:id="rId34" w:history="1">
        <w:r w:rsidRPr="00D349A5">
          <w:rPr>
            <w:rFonts w:ascii="Arial" w:eastAsia="Times New Roman" w:hAnsi="Arial" w:cs="Arial"/>
            <w:color w:val="0068AC"/>
            <w:sz w:val="24"/>
            <w:szCs w:val="24"/>
            <w:u w:val="single"/>
          </w:rPr>
          <w:t> interests </w:t>
        </w:r>
      </w:hyperlink>
      <w:r w:rsidRPr="00D349A5">
        <w:rPr>
          <w:rFonts w:ascii="Arial" w:eastAsia="Times New Roman" w:hAnsi="Arial" w:cs="Arial"/>
          <w:color w:val="333333"/>
          <w:sz w:val="24"/>
          <w:szCs w:val="24"/>
        </w:rPr>
        <w:t>of the partnership but only if—</w:t>
      </w:r>
    </w:p>
    <w:p w14:paraId="21DA0EF3"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8" w:name="e_5_B_i"/>
      <w:bookmarkEnd w:id="58"/>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p>
    <w:p w14:paraId="457C541F"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partner owned the </w:t>
      </w:r>
      <w:hyperlink r:id="rId35" w:history="1">
        <w:r w:rsidRPr="00D349A5">
          <w:rPr>
            <w:rFonts w:ascii="Arial" w:eastAsia="Times New Roman" w:hAnsi="Arial" w:cs="Arial"/>
            <w:color w:val="0068AC"/>
            <w:sz w:val="24"/>
            <w:szCs w:val="24"/>
            <w:u w:val="single"/>
          </w:rPr>
          <w:t>low-income housing</w:t>
        </w:r>
      </w:hyperlink>
      <w:r w:rsidRPr="00D349A5">
        <w:rPr>
          <w:rFonts w:ascii="Arial" w:eastAsia="Times New Roman" w:hAnsi="Arial" w:cs="Arial"/>
          <w:color w:val="333333"/>
          <w:sz w:val="24"/>
          <w:szCs w:val="24"/>
        </w:rPr>
        <w:t> at all times during the 2-year period ending on the date such housing was transferred to the partnership, or</w:t>
      </w:r>
    </w:p>
    <w:p w14:paraId="4DB40CEA"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59" w:name="e_5_B_ii"/>
      <w:bookmarkEnd w:id="59"/>
      <w:r w:rsidRPr="00D349A5">
        <w:rPr>
          <w:rFonts w:ascii="Arial" w:eastAsia="Times New Roman" w:hAnsi="Arial" w:cs="Arial"/>
          <w:b/>
          <w:bCs/>
          <w:color w:val="333333"/>
          <w:sz w:val="24"/>
          <w:szCs w:val="24"/>
        </w:rPr>
        <w:t>(ii)</w:t>
      </w:r>
    </w:p>
    <w:p w14:paraId="0F605D2E"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partnership acquired the </w:t>
      </w:r>
      <w:hyperlink r:id="rId36" w:history="1">
        <w:r w:rsidRPr="00D349A5">
          <w:rPr>
            <w:rFonts w:ascii="Arial" w:eastAsia="Times New Roman" w:hAnsi="Arial" w:cs="Arial"/>
            <w:color w:val="0068AC"/>
            <w:sz w:val="24"/>
            <w:szCs w:val="24"/>
            <w:u w:val="single"/>
          </w:rPr>
          <w:t>low-income housing</w:t>
        </w:r>
      </w:hyperlink>
      <w:r w:rsidRPr="00D349A5">
        <w:rPr>
          <w:rFonts w:ascii="Arial" w:eastAsia="Times New Roman" w:hAnsi="Arial" w:cs="Arial"/>
          <w:color w:val="333333"/>
          <w:sz w:val="24"/>
          <w:szCs w:val="24"/>
        </w:rPr>
        <w:t> pursuant to a purchase, assignment, or other transfer from the Department of Housing and Urban Development or any State or local housing authority.</w:t>
      </w:r>
    </w:p>
    <w:p w14:paraId="7EE35DF6"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For purposes of the preceding sentence, a partner shall be treated as holding any </w:t>
      </w:r>
      <w:hyperlink r:id="rId37"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in the partnership which is held (directly or indirectly) by any person related (within the meaning of subsection (b) of this section or </w:t>
      </w:r>
      <w:hyperlink r:id="rId38" w:anchor="b_1" w:history="1">
        <w:r w:rsidRPr="00D349A5">
          <w:rPr>
            <w:rFonts w:ascii="Arial" w:eastAsia="Times New Roman" w:hAnsi="Arial" w:cs="Arial"/>
            <w:color w:val="0068AC"/>
            <w:sz w:val="24"/>
            <w:szCs w:val="24"/>
            <w:u w:val="single"/>
          </w:rPr>
          <w:t>section 707(b)(1)</w:t>
        </w:r>
      </w:hyperlink>
      <w:r w:rsidRPr="00D349A5">
        <w:rPr>
          <w:rFonts w:ascii="Arial" w:eastAsia="Times New Roman" w:hAnsi="Arial" w:cs="Arial"/>
          <w:color w:val="333333"/>
          <w:sz w:val="24"/>
          <w:szCs w:val="24"/>
        </w:rPr>
        <w:t>) to such partner.</w:t>
      </w:r>
    </w:p>
    <w:p w14:paraId="7398A5AB" w14:textId="1BD2CA85"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0" w:name="e_5_C"/>
      <w:bookmarkEnd w:id="60"/>
      <w:r w:rsidRPr="00D349A5">
        <w:rPr>
          <w:rFonts w:ascii="Arial" w:eastAsia="Times New Roman" w:hAnsi="Arial" w:cs="Arial"/>
          <w:b/>
          <w:bCs/>
          <w:color w:val="333333"/>
          <w:sz w:val="24"/>
          <w:szCs w:val="24"/>
        </w:rPr>
        <w:t>(C)</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Qualified expenses and interest</w:t>
      </w:r>
      <w:r w:rsidRPr="00D349A5">
        <w:rPr>
          <w:rFonts w:ascii="Arial" w:eastAsia="Times New Roman" w:hAnsi="Arial" w:cs="Arial"/>
          <w:color w:val="333333"/>
          <w:sz w:val="24"/>
          <w:szCs w:val="24"/>
        </w:rPr>
        <w:t xml:space="preserve"> For purpose of this paragraph, the term “</w:t>
      </w:r>
      <w:hyperlink r:id="rId39" w:history="1">
        <w:r w:rsidRPr="00D349A5">
          <w:rPr>
            <w:rFonts w:ascii="Arial" w:eastAsia="Times New Roman" w:hAnsi="Arial" w:cs="Arial"/>
            <w:color w:val="0068AC"/>
            <w:sz w:val="24"/>
            <w:szCs w:val="24"/>
            <w:u w:val="single"/>
          </w:rPr>
          <w:t>qualified expenses and interest</w:t>
        </w:r>
      </w:hyperlink>
      <w:r w:rsidRPr="00D349A5">
        <w:rPr>
          <w:rFonts w:ascii="Arial" w:eastAsia="Times New Roman" w:hAnsi="Arial" w:cs="Arial"/>
          <w:color w:val="333333"/>
          <w:sz w:val="24"/>
          <w:szCs w:val="24"/>
        </w:rPr>
        <w:t>” means any expense or</w:t>
      </w:r>
      <w:hyperlink r:id="rId40" w:history="1">
        <w:r w:rsidRPr="00D349A5">
          <w:rPr>
            <w:rFonts w:ascii="Arial" w:eastAsia="Times New Roman" w:hAnsi="Arial" w:cs="Arial"/>
            <w:color w:val="0068AC"/>
            <w:sz w:val="24"/>
            <w:szCs w:val="24"/>
            <w:u w:val="single"/>
          </w:rPr>
          <w:t> interest </w:t>
        </w:r>
      </w:hyperlink>
      <w:r w:rsidRPr="00D349A5">
        <w:rPr>
          <w:rFonts w:ascii="Arial" w:eastAsia="Times New Roman" w:hAnsi="Arial" w:cs="Arial"/>
          <w:color w:val="333333"/>
          <w:sz w:val="24"/>
          <w:szCs w:val="24"/>
        </w:rPr>
        <w:t>incurred by the partnership with respect to</w:t>
      </w:r>
      <w:hyperlink r:id="rId41" w:history="1">
        <w:r w:rsidRPr="00D349A5">
          <w:rPr>
            <w:rFonts w:ascii="Arial" w:eastAsia="Times New Roman" w:hAnsi="Arial" w:cs="Arial"/>
            <w:color w:val="0068AC"/>
            <w:sz w:val="24"/>
            <w:szCs w:val="24"/>
            <w:u w:val="single"/>
          </w:rPr>
          <w:t> low-income housing </w:t>
        </w:r>
      </w:hyperlink>
      <w:r w:rsidRPr="00D349A5">
        <w:rPr>
          <w:rFonts w:ascii="Arial" w:eastAsia="Times New Roman" w:hAnsi="Arial" w:cs="Arial"/>
          <w:color w:val="333333"/>
          <w:sz w:val="24"/>
          <w:szCs w:val="24"/>
        </w:rPr>
        <w:t>held by the partnership but—</w:t>
      </w:r>
    </w:p>
    <w:p w14:paraId="42188257"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1" w:name="e_5_C_i"/>
      <w:bookmarkEnd w:id="61"/>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p>
    <w:p w14:paraId="414D08C4"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only if the amount of such expense or </w:t>
      </w:r>
      <w:hyperlink r:id="rId42"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(as the case may be) is unconditionally required to be paid by the partnership not later than 10 years after the date such amount was incurred, and</w:t>
      </w:r>
    </w:p>
    <w:p w14:paraId="435613C8"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2" w:name="e_5_C_ii"/>
      <w:bookmarkEnd w:id="62"/>
      <w:r w:rsidRPr="00D349A5">
        <w:rPr>
          <w:rFonts w:ascii="Arial" w:eastAsia="Times New Roman" w:hAnsi="Arial" w:cs="Arial"/>
          <w:b/>
          <w:bCs/>
          <w:color w:val="333333"/>
          <w:sz w:val="24"/>
          <w:szCs w:val="24"/>
        </w:rPr>
        <w:t>(ii)</w:t>
      </w:r>
    </w:p>
    <w:p w14:paraId="5841AB8F"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in the case of such </w:t>
      </w:r>
      <w:hyperlink r:id="rId43"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only if such </w:t>
      </w:r>
      <w:hyperlink r:id="rId44"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is incurred at an annual rate not in excess of 12 percent.</w:t>
      </w:r>
    </w:p>
    <w:p w14:paraId="6A5F66DC" w14:textId="630A43AA"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3" w:name="e_5_D"/>
      <w:bookmarkEnd w:id="63"/>
      <w:r w:rsidRPr="00D349A5">
        <w:rPr>
          <w:rFonts w:ascii="Arial" w:eastAsia="Times New Roman" w:hAnsi="Arial" w:cs="Arial"/>
          <w:b/>
          <w:bCs/>
          <w:color w:val="333333"/>
          <w:sz w:val="24"/>
          <w:szCs w:val="24"/>
        </w:rPr>
        <w:t>(D)</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Low-income housing</w:t>
      </w:r>
      <w:r w:rsidRPr="00D349A5">
        <w:rPr>
          <w:rFonts w:ascii="Arial" w:eastAsia="Times New Roman" w:hAnsi="Arial" w:cs="Arial"/>
          <w:color w:val="333333"/>
          <w:sz w:val="24"/>
          <w:szCs w:val="24"/>
        </w:rPr>
        <w:t xml:space="preserve"> For purposes of this paragraph, the term “</w:t>
      </w:r>
      <w:hyperlink r:id="rId45" w:history="1">
        <w:r w:rsidRPr="00D349A5">
          <w:rPr>
            <w:rFonts w:ascii="Arial" w:eastAsia="Times New Roman" w:hAnsi="Arial" w:cs="Arial"/>
            <w:color w:val="0068AC"/>
            <w:sz w:val="24"/>
            <w:szCs w:val="24"/>
            <w:u w:val="single"/>
          </w:rPr>
          <w:t>low-income housing</w:t>
        </w:r>
      </w:hyperlink>
      <w:r w:rsidRPr="00D349A5">
        <w:rPr>
          <w:rFonts w:ascii="Arial" w:eastAsia="Times New Roman" w:hAnsi="Arial" w:cs="Arial"/>
          <w:color w:val="333333"/>
          <w:sz w:val="24"/>
          <w:szCs w:val="24"/>
        </w:rPr>
        <w:t>” means—</w:t>
      </w:r>
    </w:p>
    <w:p w14:paraId="68FA04EC"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4" w:name="e_5_D_i"/>
      <w:bookmarkEnd w:id="64"/>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p>
    <w:p w14:paraId="5A9BCD5D"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any </w:t>
      </w:r>
      <w:hyperlink r:id="rId46"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in property described in clause (</w:t>
      </w:r>
      <w:proofErr w:type="spellStart"/>
      <w:r w:rsidRPr="00D349A5">
        <w:rPr>
          <w:rFonts w:ascii="Arial" w:eastAsia="Times New Roman" w:hAnsi="Arial" w:cs="Arial"/>
          <w:color w:val="333333"/>
          <w:sz w:val="24"/>
          <w:szCs w:val="24"/>
        </w:rPr>
        <w:t>i</w:t>
      </w:r>
      <w:proofErr w:type="spellEnd"/>
      <w:r w:rsidRPr="00D349A5">
        <w:rPr>
          <w:rFonts w:ascii="Arial" w:eastAsia="Times New Roman" w:hAnsi="Arial" w:cs="Arial"/>
          <w:color w:val="333333"/>
          <w:sz w:val="24"/>
          <w:szCs w:val="24"/>
        </w:rPr>
        <w:t>), (ii), (iii), or (iv) of section 1250(a)(1)(B), and</w:t>
      </w:r>
    </w:p>
    <w:p w14:paraId="26225DC0"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5" w:name="e_5_D_ii"/>
      <w:bookmarkEnd w:id="65"/>
      <w:r w:rsidRPr="00D349A5">
        <w:rPr>
          <w:rFonts w:ascii="Arial" w:eastAsia="Times New Roman" w:hAnsi="Arial" w:cs="Arial"/>
          <w:b/>
          <w:bCs/>
          <w:color w:val="333333"/>
          <w:sz w:val="24"/>
          <w:szCs w:val="24"/>
        </w:rPr>
        <w:t>(ii)</w:t>
      </w:r>
    </w:p>
    <w:p w14:paraId="0F7356FC"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any </w:t>
      </w:r>
      <w:hyperlink r:id="rId47" w:history="1">
        <w:r w:rsidRPr="00D349A5">
          <w:rPr>
            <w:rFonts w:ascii="Arial" w:eastAsia="Times New Roman" w:hAnsi="Arial" w:cs="Arial"/>
            <w:color w:val="0068AC"/>
            <w:sz w:val="24"/>
            <w:szCs w:val="24"/>
            <w:u w:val="single"/>
          </w:rPr>
          <w:t>interest</w:t>
        </w:r>
      </w:hyperlink>
      <w:r w:rsidRPr="00D349A5">
        <w:rPr>
          <w:rFonts w:ascii="Arial" w:eastAsia="Times New Roman" w:hAnsi="Arial" w:cs="Arial"/>
          <w:color w:val="333333"/>
          <w:sz w:val="24"/>
          <w:szCs w:val="24"/>
        </w:rPr>
        <w:t> in a partnership owning such property.</w:t>
      </w:r>
    </w:p>
    <w:p w14:paraId="56DCB8EB" w14:textId="11FAF15D"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6" w:name="e_6"/>
      <w:bookmarkEnd w:id="66"/>
      <w:r w:rsidRPr="00D349A5">
        <w:rPr>
          <w:rFonts w:ascii="Arial" w:eastAsia="Times New Roman" w:hAnsi="Arial" w:cs="Arial"/>
          <w:b/>
          <w:bCs/>
          <w:color w:val="333333"/>
          <w:sz w:val="24"/>
          <w:szCs w:val="24"/>
        </w:rPr>
        <w:lastRenderedPageBreak/>
        <w:t>(6)</w:t>
      </w:r>
      <w:r w:rsidRPr="00D349A5">
        <w:rPr>
          <w:rFonts w:ascii="Arial" w:eastAsia="Times New Roman" w:hAnsi="Arial" w:cs="Arial"/>
          <w:b/>
          <w:bCs/>
          <w:smallCaps/>
          <w:color w:val="333333"/>
          <w:sz w:val="24"/>
          <w:szCs w:val="24"/>
        </w:rPr>
        <w:t xml:space="preserve"> CROSS reference</w:t>
      </w:r>
    </w:p>
    <w:p w14:paraId="6CAEF220"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For additional rules relating to partnerships, see section 707(b).</w:t>
      </w:r>
    </w:p>
    <w:p w14:paraId="0E8B9EE7" w14:textId="497C2231"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7" w:name="f"/>
      <w:bookmarkEnd w:id="67"/>
      <w:r w:rsidRPr="00D349A5">
        <w:rPr>
          <w:rFonts w:ascii="Arial" w:eastAsia="Times New Roman" w:hAnsi="Arial" w:cs="Arial"/>
          <w:b/>
          <w:bCs/>
          <w:color w:val="333333"/>
          <w:sz w:val="24"/>
          <w:szCs w:val="24"/>
        </w:rPr>
        <w:t>(f)</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 xml:space="preserve">Controlled group </w:t>
      </w:r>
      <w:proofErr w:type="gramStart"/>
      <w:r w:rsidRPr="00D349A5">
        <w:rPr>
          <w:rFonts w:ascii="Arial" w:eastAsia="Times New Roman" w:hAnsi="Arial" w:cs="Arial"/>
          <w:b/>
          <w:bCs/>
          <w:smallCaps/>
          <w:color w:val="333333"/>
          <w:sz w:val="24"/>
          <w:szCs w:val="24"/>
        </w:rPr>
        <w:t>defined;</w:t>
      </w:r>
      <w:proofErr w:type="gramEnd"/>
      <w:r w:rsidRPr="00D349A5">
        <w:rPr>
          <w:rFonts w:ascii="Arial" w:eastAsia="Times New Roman" w:hAnsi="Arial" w:cs="Arial"/>
          <w:b/>
          <w:bCs/>
          <w:smallCaps/>
          <w:color w:val="333333"/>
          <w:sz w:val="24"/>
          <w:szCs w:val="24"/>
        </w:rPr>
        <w:t xml:space="preserve"> special rules applicable to controlled groups</w:t>
      </w:r>
    </w:p>
    <w:p w14:paraId="1D5BBF57" w14:textId="3A387BC1"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8" w:name="f_1"/>
      <w:bookmarkEnd w:id="68"/>
      <w:r w:rsidRPr="00D349A5">
        <w:rPr>
          <w:rFonts w:ascii="Arial" w:eastAsia="Times New Roman" w:hAnsi="Arial" w:cs="Arial"/>
          <w:b/>
          <w:bCs/>
          <w:color w:val="333333"/>
          <w:sz w:val="24"/>
          <w:szCs w:val="24"/>
        </w:rPr>
        <w:t>(1)</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Controlled group defined</w:t>
      </w:r>
      <w:r w:rsidRPr="00D349A5">
        <w:rPr>
          <w:rFonts w:ascii="Arial" w:eastAsia="Times New Roman" w:hAnsi="Arial" w:cs="Arial"/>
          <w:color w:val="333333"/>
          <w:sz w:val="24"/>
          <w:szCs w:val="24"/>
        </w:rPr>
        <w:t xml:space="preserve"> For purposes of this section, the term “</w:t>
      </w:r>
      <w:hyperlink r:id="rId48" w:history="1">
        <w:r w:rsidRPr="00D349A5">
          <w:rPr>
            <w:rFonts w:ascii="Arial" w:eastAsia="Times New Roman" w:hAnsi="Arial" w:cs="Arial"/>
            <w:color w:val="0068AC"/>
            <w:sz w:val="24"/>
            <w:szCs w:val="24"/>
            <w:u w:val="single"/>
          </w:rPr>
          <w:t>controlled group</w:t>
        </w:r>
      </w:hyperlink>
      <w:r w:rsidRPr="00D349A5">
        <w:rPr>
          <w:rFonts w:ascii="Arial" w:eastAsia="Times New Roman" w:hAnsi="Arial" w:cs="Arial"/>
          <w:color w:val="333333"/>
          <w:sz w:val="24"/>
          <w:szCs w:val="24"/>
        </w:rPr>
        <w:t>” has the meaning given to such term by section 1563(a), except that—</w:t>
      </w:r>
    </w:p>
    <w:p w14:paraId="63C821A7"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69" w:name="f_1_A"/>
      <w:bookmarkEnd w:id="69"/>
      <w:r w:rsidRPr="00D349A5">
        <w:rPr>
          <w:rFonts w:ascii="Arial" w:eastAsia="Times New Roman" w:hAnsi="Arial" w:cs="Arial"/>
          <w:b/>
          <w:bCs/>
          <w:color w:val="333333"/>
          <w:sz w:val="24"/>
          <w:szCs w:val="24"/>
        </w:rPr>
        <w:t>(A)</w:t>
      </w:r>
    </w:p>
    <w:p w14:paraId="0FBFF497"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w:t>
      </w:r>
      <w:proofErr w:type="gramStart"/>
      <w:r w:rsidRPr="00D349A5">
        <w:rPr>
          <w:rFonts w:ascii="Arial" w:eastAsia="Times New Roman" w:hAnsi="Arial" w:cs="Arial"/>
          <w:color w:val="333333"/>
          <w:sz w:val="24"/>
          <w:szCs w:val="24"/>
        </w:rPr>
        <w:t>more</w:t>
      </w:r>
      <w:proofErr w:type="gramEnd"/>
      <w:r w:rsidRPr="00D349A5">
        <w:rPr>
          <w:rFonts w:ascii="Arial" w:eastAsia="Times New Roman" w:hAnsi="Arial" w:cs="Arial"/>
          <w:color w:val="333333"/>
          <w:sz w:val="24"/>
          <w:szCs w:val="24"/>
        </w:rPr>
        <w:t xml:space="preserve"> than 50 percent” shall be substituted for “at least 80 percent” each place it appears in section 1563(a), and</w:t>
      </w:r>
    </w:p>
    <w:p w14:paraId="5216EE11"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0" w:name="f_1_B"/>
      <w:bookmarkEnd w:id="70"/>
      <w:r w:rsidRPr="00D349A5">
        <w:rPr>
          <w:rFonts w:ascii="Arial" w:eastAsia="Times New Roman" w:hAnsi="Arial" w:cs="Arial"/>
          <w:b/>
          <w:bCs/>
          <w:color w:val="333333"/>
          <w:sz w:val="24"/>
          <w:szCs w:val="24"/>
        </w:rPr>
        <w:t>(B)</w:t>
      </w:r>
    </w:p>
    <w:p w14:paraId="54B7D844"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the determination shall be made without regard to subsections (a)(4) and (e)(3)(C) of section 1563.</w:t>
      </w:r>
    </w:p>
    <w:p w14:paraId="2BF09D98" w14:textId="2B8EA193"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1" w:name="f_2"/>
      <w:bookmarkEnd w:id="71"/>
      <w:r w:rsidRPr="00D349A5">
        <w:rPr>
          <w:rFonts w:ascii="Arial" w:eastAsia="Times New Roman" w:hAnsi="Arial" w:cs="Arial"/>
          <w:b/>
          <w:bCs/>
          <w:color w:val="333333"/>
          <w:sz w:val="24"/>
          <w:szCs w:val="24"/>
        </w:rPr>
        <w:t>(2)</w:t>
      </w:r>
      <w:r w:rsidRPr="00D349A5">
        <w:rPr>
          <w:rFonts w:ascii="Arial" w:eastAsia="Times New Roman" w:hAnsi="Arial" w:cs="Arial"/>
          <w:b/>
          <w:bCs/>
          <w:smallCaps/>
          <w:color w:val="333333"/>
          <w:sz w:val="24"/>
          <w:szCs w:val="24"/>
        </w:rPr>
        <w:t>Deferral (rather than denial) of loss from sale or exchange between members</w:t>
      </w:r>
      <w:r w:rsidRPr="00D349A5">
        <w:rPr>
          <w:rFonts w:ascii="Arial" w:eastAsia="Times New Roman" w:hAnsi="Arial" w:cs="Arial"/>
          <w:color w:val="333333"/>
          <w:sz w:val="24"/>
          <w:szCs w:val="24"/>
        </w:rPr>
        <w:t xml:space="preserve"> In the case of any loss from the sale or exchange of property which is between members of the same </w:t>
      </w:r>
      <w:hyperlink r:id="rId49" w:history="1">
        <w:r w:rsidRPr="00D349A5">
          <w:rPr>
            <w:rFonts w:ascii="Arial" w:eastAsia="Times New Roman" w:hAnsi="Arial" w:cs="Arial"/>
            <w:color w:val="0068AC"/>
            <w:sz w:val="24"/>
            <w:szCs w:val="24"/>
            <w:u w:val="single"/>
          </w:rPr>
          <w:t>controlled group</w:t>
        </w:r>
      </w:hyperlink>
      <w:r w:rsidRPr="00D349A5">
        <w:rPr>
          <w:rFonts w:ascii="Arial" w:eastAsia="Times New Roman" w:hAnsi="Arial" w:cs="Arial"/>
          <w:color w:val="333333"/>
          <w:sz w:val="24"/>
          <w:szCs w:val="24"/>
        </w:rPr>
        <w:t> and to which subsection (a)(1) applies (determined without regard to this paragraph but with regard to paragraph (3))—</w:t>
      </w:r>
    </w:p>
    <w:p w14:paraId="48DA917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2" w:name="f_2_A"/>
      <w:bookmarkEnd w:id="72"/>
      <w:r w:rsidRPr="00D349A5">
        <w:rPr>
          <w:rFonts w:ascii="Arial" w:eastAsia="Times New Roman" w:hAnsi="Arial" w:cs="Arial"/>
          <w:b/>
          <w:bCs/>
          <w:color w:val="333333"/>
          <w:sz w:val="24"/>
          <w:szCs w:val="24"/>
        </w:rPr>
        <w:t>(A)</w:t>
      </w:r>
    </w:p>
    <w:p w14:paraId="040BFD8B"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subsections (a)(1) and (d) shall not apply to such loss, but</w:t>
      </w:r>
    </w:p>
    <w:p w14:paraId="5B0A7983"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3" w:name="f_2_B"/>
      <w:bookmarkEnd w:id="73"/>
      <w:r w:rsidRPr="00D349A5">
        <w:rPr>
          <w:rFonts w:ascii="Arial" w:eastAsia="Times New Roman" w:hAnsi="Arial" w:cs="Arial"/>
          <w:b/>
          <w:bCs/>
          <w:color w:val="333333"/>
          <w:sz w:val="24"/>
          <w:szCs w:val="24"/>
        </w:rPr>
        <w:t>(B)</w:t>
      </w:r>
    </w:p>
    <w:p w14:paraId="3BE48363"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loss shall be deferred until the property is transferred outside such </w:t>
      </w:r>
      <w:hyperlink r:id="rId50" w:history="1">
        <w:r w:rsidRPr="00D349A5">
          <w:rPr>
            <w:rFonts w:ascii="Arial" w:eastAsia="Times New Roman" w:hAnsi="Arial" w:cs="Arial"/>
            <w:color w:val="0068AC"/>
            <w:sz w:val="24"/>
            <w:szCs w:val="24"/>
            <w:u w:val="single"/>
          </w:rPr>
          <w:t>controlled group</w:t>
        </w:r>
      </w:hyperlink>
      <w:r w:rsidRPr="00D349A5">
        <w:rPr>
          <w:rFonts w:ascii="Arial" w:eastAsia="Times New Roman" w:hAnsi="Arial" w:cs="Arial"/>
          <w:color w:val="333333"/>
          <w:sz w:val="24"/>
          <w:szCs w:val="24"/>
        </w:rPr>
        <w:t> and there would be recognition of loss under consolidated return principles or until such other time as may be prescribed in regulations.</w:t>
      </w:r>
    </w:p>
    <w:p w14:paraId="48913CEA" w14:textId="7E060F0B"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4" w:name="f_3"/>
      <w:bookmarkEnd w:id="74"/>
      <w:r w:rsidRPr="00D349A5">
        <w:rPr>
          <w:rFonts w:ascii="Arial" w:eastAsia="Times New Roman" w:hAnsi="Arial" w:cs="Arial"/>
          <w:b/>
          <w:bCs/>
          <w:color w:val="333333"/>
          <w:sz w:val="24"/>
          <w:szCs w:val="24"/>
        </w:rPr>
        <w:t>(3)</w:t>
      </w:r>
      <w:r w:rsidRPr="00D349A5">
        <w:rPr>
          <w:rFonts w:ascii="Arial" w:eastAsia="Times New Roman" w:hAnsi="Arial" w:cs="Arial"/>
          <w:b/>
          <w:bCs/>
          <w:smallCaps/>
          <w:color w:val="333333"/>
          <w:sz w:val="24"/>
          <w:szCs w:val="24"/>
        </w:rPr>
        <w:t xml:space="preserve"> LOSS deferral rules not to apply in certain cases</w:t>
      </w:r>
    </w:p>
    <w:p w14:paraId="06DAAF95"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5" w:name="f_3_A"/>
      <w:bookmarkEnd w:id="75"/>
      <w:r w:rsidRPr="00D349A5">
        <w:rPr>
          <w:rFonts w:ascii="Arial" w:eastAsia="Times New Roman" w:hAnsi="Arial" w:cs="Arial"/>
          <w:b/>
          <w:bCs/>
          <w:color w:val="333333"/>
          <w:sz w:val="24"/>
          <w:szCs w:val="24"/>
        </w:rPr>
        <w:t>(A)Transfer to DISC</w:t>
      </w:r>
    </w:p>
    <w:p w14:paraId="0E8EA10D"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For purposes of applying subsection (a)(1), the term “</w:t>
      </w:r>
      <w:hyperlink r:id="rId51" w:history="1">
        <w:r w:rsidRPr="00D349A5">
          <w:rPr>
            <w:rFonts w:ascii="Arial" w:eastAsia="Times New Roman" w:hAnsi="Arial" w:cs="Arial"/>
            <w:color w:val="0068AC"/>
            <w:sz w:val="24"/>
            <w:szCs w:val="24"/>
            <w:u w:val="single"/>
          </w:rPr>
          <w:t>controlled group</w:t>
        </w:r>
      </w:hyperlink>
      <w:r w:rsidRPr="00D349A5">
        <w:rPr>
          <w:rFonts w:ascii="Arial" w:eastAsia="Times New Roman" w:hAnsi="Arial" w:cs="Arial"/>
          <w:color w:val="333333"/>
          <w:sz w:val="24"/>
          <w:szCs w:val="24"/>
        </w:rPr>
        <w:t>” shall not include a DISC.</w:t>
      </w:r>
    </w:p>
    <w:p w14:paraId="10C532DD" w14:textId="33067096"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6" w:name="f_3_B"/>
      <w:bookmarkEnd w:id="76"/>
      <w:r w:rsidRPr="00D349A5">
        <w:rPr>
          <w:rFonts w:ascii="Arial" w:eastAsia="Times New Roman" w:hAnsi="Arial" w:cs="Arial"/>
          <w:b/>
          <w:bCs/>
          <w:color w:val="333333"/>
          <w:sz w:val="24"/>
          <w:szCs w:val="24"/>
        </w:rPr>
        <w:t>(B)</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Certain sales of inventory</w:t>
      </w:r>
      <w:r w:rsidRPr="00D349A5">
        <w:rPr>
          <w:rFonts w:ascii="Arial" w:eastAsia="Times New Roman" w:hAnsi="Arial" w:cs="Arial"/>
          <w:color w:val="333333"/>
          <w:sz w:val="24"/>
          <w:szCs w:val="24"/>
        </w:rPr>
        <w:t xml:space="preserve"> Except to the extent provided in regulations prescribed by the Secretary, subsection (a)(1) shall not apply to the sale or exchange of property between members of the same </w:t>
      </w:r>
      <w:hyperlink r:id="rId52" w:history="1">
        <w:r w:rsidRPr="00D349A5">
          <w:rPr>
            <w:rFonts w:ascii="Arial" w:eastAsia="Times New Roman" w:hAnsi="Arial" w:cs="Arial"/>
            <w:color w:val="0068AC"/>
            <w:sz w:val="24"/>
            <w:szCs w:val="24"/>
            <w:u w:val="single"/>
          </w:rPr>
          <w:t>controlled group</w:t>
        </w:r>
      </w:hyperlink>
      <w:r w:rsidRPr="00D349A5">
        <w:rPr>
          <w:rFonts w:ascii="Arial" w:eastAsia="Times New Roman" w:hAnsi="Arial" w:cs="Arial"/>
          <w:color w:val="333333"/>
          <w:sz w:val="24"/>
          <w:szCs w:val="24"/>
        </w:rPr>
        <w:t> (or persons described in subsection (b)(10)) if—</w:t>
      </w:r>
    </w:p>
    <w:p w14:paraId="783CF22B"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7" w:name="f_3_B_i"/>
      <w:bookmarkEnd w:id="77"/>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p>
    <w:p w14:paraId="55234A10"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property in the hands of the transferor is property described in section 1221(a)(1),</w:t>
      </w:r>
    </w:p>
    <w:p w14:paraId="45DD3E20"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8" w:name="f_3_B_ii"/>
      <w:bookmarkEnd w:id="78"/>
      <w:r w:rsidRPr="00D349A5">
        <w:rPr>
          <w:rFonts w:ascii="Arial" w:eastAsia="Times New Roman" w:hAnsi="Arial" w:cs="Arial"/>
          <w:b/>
          <w:bCs/>
          <w:color w:val="333333"/>
          <w:sz w:val="24"/>
          <w:szCs w:val="24"/>
        </w:rPr>
        <w:t>(ii)</w:t>
      </w:r>
    </w:p>
    <w:p w14:paraId="53A52432"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sale or exchange is in the ordinary course of the transferor’s trade or business,</w:t>
      </w:r>
    </w:p>
    <w:p w14:paraId="016A7273"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79" w:name="f_3_B_iii"/>
      <w:bookmarkEnd w:id="79"/>
      <w:r w:rsidRPr="00D349A5">
        <w:rPr>
          <w:rFonts w:ascii="Arial" w:eastAsia="Times New Roman" w:hAnsi="Arial" w:cs="Arial"/>
          <w:b/>
          <w:bCs/>
          <w:color w:val="333333"/>
          <w:sz w:val="24"/>
          <w:szCs w:val="24"/>
        </w:rPr>
        <w:t>(iii)</w:t>
      </w:r>
    </w:p>
    <w:p w14:paraId="6BB568E9"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property in the hands of the transferee is property described in section 1221(a)(1), and</w:t>
      </w:r>
    </w:p>
    <w:p w14:paraId="2986A942"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0" w:name="f_3_B_iv"/>
      <w:bookmarkEnd w:id="80"/>
      <w:r w:rsidRPr="00D349A5">
        <w:rPr>
          <w:rFonts w:ascii="Arial" w:eastAsia="Times New Roman" w:hAnsi="Arial" w:cs="Arial"/>
          <w:b/>
          <w:bCs/>
          <w:color w:val="333333"/>
          <w:sz w:val="24"/>
          <w:szCs w:val="24"/>
        </w:rPr>
        <w:t>(iv)</w:t>
      </w:r>
    </w:p>
    <w:p w14:paraId="2E181CAC"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the transferee or the transferor is a foreign corporation.</w:t>
      </w:r>
    </w:p>
    <w:p w14:paraId="6E10C833" w14:textId="06C447E3"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1" w:name="f_3_C"/>
      <w:bookmarkEnd w:id="81"/>
      <w:r w:rsidRPr="00D349A5">
        <w:rPr>
          <w:rFonts w:ascii="Arial" w:eastAsia="Times New Roman" w:hAnsi="Arial" w:cs="Arial"/>
          <w:b/>
          <w:bCs/>
          <w:color w:val="333333"/>
          <w:sz w:val="24"/>
          <w:szCs w:val="24"/>
        </w:rPr>
        <w:t>(C)</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Certain foreign currency losses</w:t>
      </w:r>
    </w:p>
    <w:p w14:paraId="14DD44F1"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To the extent provided in regulations, subsection (a)(1) shall not apply to any loss sustained by a member of a </w:t>
      </w:r>
      <w:hyperlink r:id="rId53" w:history="1">
        <w:r w:rsidRPr="00D349A5">
          <w:rPr>
            <w:rFonts w:ascii="Arial" w:eastAsia="Times New Roman" w:hAnsi="Arial" w:cs="Arial"/>
            <w:color w:val="0068AC"/>
            <w:sz w:val="24"/>
            <w:szCs w:val="24"/>
            <w:u w:val="single"/>
          </w:rPr>
          <w:t>controlled group</w:t>
        </w:r>
      </w:hyperlink>
      <w:r w:rsidRPr="00D349A5">
        <w:rPr>
          <w:rFonts w:ascii="Arial" w:eastAsia="Times New Roman" w:hAnsi="Arial" w:cs="Arial"/>
          <w:color w:val="333333"/>
          <w:sz w:val="24"/>
          <w:szCs w:val="24"/>
        </w:rPr>
        <w:t> on the repayment of a loan made to another member of such group if such loan is payable in a foreign currency or is denominated in such a currency and such loss is attributable to a reduction in value of such foreign currency.</w:t>
      </w:r>
    </w:p>
    <w:p w14:paraId="07AA8122" w14:textId="0AEED093"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2" w:name="f_3_D"/>
      <w:bookmarkEnd w:id="82"/>
      <w:r w:rsidRPr="00D349A5">
        <w:rPr>
          <w:rFonts w:ascii="Arial" w:eastAsia="Times New Roman" w:hAnsi="Arial" w:cs="Arial"/>
          <w:b/>
          <w:bCs/>
          <w:color w:val="333333"/>
          <w:sz w:val="24"/>
          <w:szCs w:val="24"/>
        </w:rPr>
        <w:t>(D)</w:t>
      </w:r>
      <w:r>
        <w:rPr>
          <w:rFonts w:ascii="Arial" w:eastAsia="Times New Roman" w:hAnsi="Arial" w:cs="Arial"/>
          <w:b/>
          <w:bCs/>
          <w:color w:val="333333"/>
          <w:sz w:val="24"/>
          <w:szCs w:val="24"/>
        </w:rPr>
        <w:t xml:space="preserve"> </w:t>
      </w:r>
      <w:r w:rsidRPr="00D349A5">
        <w:rPr>
          <w:rFonts w:ascii="Arial" w:eastAsia="Times New Roman" w:hAnsi="Arial" w:cs="Arial"/>
          <w:b/>
          <w:bCs/>
          <w:color w:val="333333"/>
          <w:sz w:val="24"/>
          <w:szCs w:val="24"/>
        </w:rPr>
        <w:t>Redemptions by fund-of-funds regulated investment companies</w:t>
      </w:r>
      <w:r w:rsidRPr="00D349A5">
        <w:rPr>
          <w:rFonts w:ascii="Arial" w:eastAsia="Times New Roman" w:hAnsi="Arial" w:cs="Arial"/>
          <w:color w:val="333333"/>
          <w:sz w:val="24"/>
          <w:szCs w:val="24"/>
        </w:rPr>
        <w:t xml:space="preserve"> Except to the extent provided in regulations prescribed by the Secretary, subsection (a)(1) shall not apply to any distribution in redemption of stock of a regulated investment company if—</w:t>
      </w:r>
    </w:p>
    <w:p w14:paraId="3328B5F1"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3" w:name="f_3_D_i"/>
      <w:bookmarkEnd w:id="83"/>
      <w:r w:rsidRPr="00D349A5">
        <w:rPr>
          <w:rFonts w:ascii="Arial" w:eastAsia="Times New Roman" w:hAnsi="Arial" w:cs="Arial"/>
          <w:b/>
          <w:bCs/>
          <w:color w:val="333333"/>
          <w:sz w:val="24"/>
          <w:szCs w:val="24"/>
        </w:rPr>
        <w:t>(</w:t>
      </w:r>
      <w:proofErr w:type="spellStart"/>
      <w:r w:rsidRPr="00D349A5">
        <w:rPr>
          <w:rFonts w:ascii="Arial" w:eastAsia="Times New Roman" w:hAnsi="Arial" w:cs="Arial"/>
          <w:b/>
          <w:bCs/>
          <w:color w:val="333333"/>
          <w:sz w:val="24"/>
          <w:szCs w:val="24"/>
        </w:rPr>
        <w:t>i</w:t>
      </w:r>
      <w:proofErr w:type="spellEnd"/>
      <w:r w:rsidRPr="00D349A5">
        <w:rPr>
          <w:rFonts w:ascii="Arial" w:eastAsia="Times New Roman" w:hAnsi="Arial" w:cs="Arial"/>
          <w:b/>
          <w:bCs/>
          <w:color w:val="333333"/>
          <w:sz w:val="24"/>
          <w:szCs w:val="24"/>
        </w:rPr>
        <w:t>)</w:t>
      </w:r>
    </w:p>
    <w:p w14:paraId="3BD8A80E"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company issues only stock which is redeemable upon the demand of the stockholder, and</w:t>
      </w:r>
    </w:p>
    <w:p w14:paraId="01B40232" w14:textId="77777777"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4" w:name="f_3_D_ii"/>
      <w:bookmarkEnd w:id="84"/>
      <w:r w:rsidRPr="00D349A5">
        <w:rPr>
          <w:rFonts w:ascii="Arial" w:eastAsia="Times New Roman" w:hAnsi="Arial" w:cs="Arial"/>
          <w:b/>
          <w:bCs/>
          <w:color w:val="333333"/>
          <w:sz w:val="24"/>
          <w:szCs w:val="24"/>
        </w:rPr>
        <w:t>(ii)</w:t>
      </w:r>
    </w:p>
    <w:p w14:paraId="71C4FB39"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such redemption is upon the demand of another regulated investment company.</w:t>
      </w:r>
    </w:p>
    <w:p w14:paraId="2CE6A95B" w14:textId="6A3B15C8"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5" w:name="f_4"/>
      <w:bookmarkEnd w:id="85"/>
      <w:r w:rsidRPr="00D349A5">
        <w:rPr>
          <w:rFonts w:ascii="Arial" w:eastAsia="Times New Roman" w:hAnsi="Arial" w:cs="Arial"/>
          <w:b/>
          <w:bCs/>
          <w:color w:val="333333"/>
          <w:sz w:val="24"/>
          <w:szCs w:val="24"/>
        </w:rPr>
        <w:t>(4)</w:t>
      </w:r>
      <w:r w:rsidRPr="00D349A5">
        <w:rPr>
          <w:rFonts w:ascii="Arial" w:eastAsia="Times New Roman" w:hAnsi="Arial" w:cs="Arial"/>
          <w:b/>
          <w:bCs/>
          <w:smallCaps/>
          <w:color w:val="333333"/>
          <w:sz w:val="24"/>
          <w:szCs w:val="24"/>
        </w:rPr>
        <w:t xml:space="preserve"> DETERMINATION of relationship resulting in disallowance of loss, for purposes of other provisions</w:t>
      </w:r>
    </w:p>
    <w:p w14:paraId="27FBC4FA"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lastRenderedPageBreak/>
        <w:t>For purposes of any other section of this title which refers to a relationship which would result in a disallowance of losses under this section, deferral under paragraph (2) shall be treated as disallowance.</w:t>
      </w:r>
    </w:p>
    <w:p w14:paraId="00C07827" w14:textId="77BF8F71" w:rsidR="00D349A5" w:rsidRPr="00D349A5" w:rsidRDefault="00D349A5" w:rsidP="00D349A5">
      <w:pPr>
        <w:shd w:val="clear" w:color="auto" w:fill="FFFFFF"/>
        <w:spacing w:after="0" w:line="240" w:lineRule="auto"/>
        <w:rPr>
          <w:rFonts w:ascii="Arial" w:eastAsia="Times New Roman" w:hAnsi="Arial" w:cs="Arial"/>
          <w:color w:val="333333"/>
          <w:sz w:val="24"/>
          <w:szCs w:val="24"/>
        </w:rPr>
      </w:pPr>
      <w:bookmarkStart w:id="86" w:name="g"/>
      <w:bookmarkEnd w:id="86"/>
      <w:r w:rsidRPr="00D349A5">
        <w:rPr>
          <w:rFonts w:ascii="Arial" w:eastAsia="Times New Roman" w:hAnsi="Arial" w:cs="Arial"/>
          <w:b/>
          <w:bCs/>
          <w:color w:val="333333"/>
          <w:sz w:val="24"/>
          <w:szCs w:val="24"/>
        </w:rPr>
        <w:t>(g)</w:t>
      </w:r>
      <w:r>
        <w:rPr>
          <w:rFonts w:ascii="Arial" w:eastAsia="Times New Roman" w:hAnsi="Arial" w:cs="Arial"/>
          <w:b/>
          <w:bCs/>
          <w:color w:val="333333"/>
          <w:sz w:val="24"/>
          <w:szCs w:val="24"/>
        </w:rPr>
        <w:t xml:space="preserve"> </w:t>
      </w:r>
      <w:r w:rsidRPr="00D349A5">
        <w:rPr>
          <w:rFonts w:ascii="Arial" w:eastAsia="Times New Roman" w:hAnsi="Arial" w:cs="Arial"/>
          <w:b/>
          <w:bCs/>
          <w:smallCaps/>
          <w:color w:val="333333"/>
          <w:sz w:val="24"/>
          <w:szCs w:val="24"/>
        </w:rPr>
        <w:t>Coordination with section 1041</w:t>
      </w:r>
    </w:p>
    <w:p w14:paraId="72CE0EA9" w14:textId="77777777" w:rsidR="00D349A5" w:rsidRPr="00D349A5" w:rsidRDefault="00D349A5" w:rsidP="00D349A5">
      <w:pPr>
        <w:shd w:val="clear" w:color="auto" w:fill="FFFFFF"/>
        <w:spacing w:after="15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Subsection (a)(1) shall not apply to any transfer described in section 1041(a) (relating to transfers of property between spouses or incident to divorce).</w:t>
      </w:r>
    </w:p>
    <w:p w14:paraId="661566D3" w14:textId="77777777" w:rsidR="00D349A5" w:rsidRPr="00D349A5" w:rsidRDefault="00D349A5" w:rsidP="00D349A5">
      <w:pPr>
        <w:shd w:val="clear" w:color="auto" w:fill="FFFFFF"/>
        <w:spacing w:after="60" w:line="240" w:lineRule="auto"/>
        <w:rPr>
          <w:rFonts w:ascii="Arial" w:eastAsia="Times New Roman" w:hAnsi="Arial" w:cs="Arial"/>
          <w:color w:val="333333"/>
          <w:sz w:val="24"/>
          <w:szCs w:val="24"/>
        </w:rPr>
      </w:pPr>
      <w:r w:rsidRPr="00D349A5">
        <w:rPr>
          <w:rFonts w:ascii="Arial" w:eastAsia="Times New Roman" w:hAnsi="Arial" w:cs="Arial"/>
          <w:color w:val="333333"/>
          <w:sz w:val="24"/>
          <w:szCs w:val="24"/>
        </w:rPr>
        <w:t xml:space="preserve">(Aug. 16, 1954, </w:t>
      </w:r>
      <w:proofErr w:type="spellStart"/>
      <w:r w:rsidRPr="00D349A5">
        <w:rPr>
          <w:rFonts w:ascii="Arial" w:eastAsia="Times New Roman" w:hAnsi="Arial" w:cs="Arial"/>
          <w:color w:val="333333"/>
          <w:sz w:val="24"/>
          <w:szCs w:val="24"/>
        </w:rPr>
        <w:t>ch.</w:t>
      </w:r>
      <w:proofErr w:type="spellEnd"/>
      <w:r w:rsidRPr="00D349A5">
        <w:rPr>
          <w:rFonts w:ascii="Arial" w:eastAsia="Times New Roman" w:hAnsi="Arial" w:cs="Arial"/>
          <w:color w:val="333333"/>
          <w:sz w:val="24"/>
          <w:szCs w:val="24"/>
        </w:rPr>
        <w:t xml:space="preserve"> 736, </w:t>
      </w:r>
      <w:hyperlink r:id="rId54" w:history="1">
        <w:r w:rsidRPr="00D349A5">
          <w:rPr>
            <w:rFonts w:ascii="Arial" w:eastAsia="Times New Roman" w:hAnsi="Arial" w:cs="Arial"/>
            <w:color w:val="0068AC"/>
            <w:sz w:val="24"/>
            <w:szCs w:val="24"/>
            <w:u w:val="single"/>
          </w:rPr>
          <w:t>68A Stat. 78</w:t>
        </w:r>
      </w:hyperlink>
      <w:r w:rsidRPr="00D349A5">
        <w:rPr>
          <w:rFonts w:ascii="Arial" w:eastAsia="Times New Roman" w:hAnsi="Arial" w:cs="Arial"/>
          <w:color w:val="333333"/>
          <w:sz w:val="24"/>
          <w:szCs w:val="24"/>
        </w:rPr>
        <w:t>; </w:t>
      </w:r>
      <w:hyperlink r:id="rId55" w:history="1">
        <w:r w:rsidRPr="00D349A5">
          <w:rPr>
            <w:rFonts w:ascii="Arial" w:eastAsia="Times New Roman" w:hAnsi="Arial" w:cs="Arial"/>
            <w:color w:val="0068AC"/>
            <w:sz w:val="24"/>
            <w:szCs w:val="24"/>
            <w:u w:val="single"/>
          </w:rPr>
          <w:t>Pub. L. 95–628, § 2(a)</w:t>
        </w:r>
      </w:hyperlink>
      <w:r w:rsidRPr="00D349A5">
        <w:rPr>
          <w:rFonts w:ascii="Arial" w:eastAsia="Times New Roman" w:hAnsi="Arial" w:cs="Arial"/>
          <w:color w:val="333333"/>
          <w:sz w:val="24"/>
          <w:szCs w:val="24"/>
        </w:rPr>
        <w:t>, Nov. 10, 1978, </w:t>
      </w:r>
      <w:hyperlink r:id="rId56" w:history="1">
        <w:r w:rsidRPr="00D349A5">
          <w:rPr>
            <w:rFonts w:ascii="Arial" w:eastAsia="Times New Roman" w:hAnsi="Arial" w:cs="Arial"/>
            <w:color w:val="0068AC"/>
            <w:sz w:val="24"/>
            <w:szCs w:val="24"/>
            <w:u w:val="single"/>
          </w:rPr>
          <w:t>92 Stat. 3627</w:t>
        </w:r>
      </w:hyperlink>
      <w:r w:rsidRPr="00D349A5">
        <w:rPr>
          <w:rFonts w:ascii="Arial" w:eastAsia="Times New Roman" w:hAnsi="Arial" w:cs="Arial"/>
          <w:color w:val="333333"/>
          <w:sz w:val="24"/>
          <w:szCs w:val="24"/>
        </w:rPr>
        <w:t>; </w:t>
      </w:r>
      <w:hyperlink r:id="rId57" w:history="1">
        <w:r w:rsidRPr="00D349A5">
          <w:rPr>
            <w:rFonts w:ascii="Arial" w:eastAsia="Times New Roman" w:hAnsi="Arial" w:cs="Arial"/>
            <w:color w:val="0068AC"/>
            <w:sz w:val="24"/>
            <w:szCs w:val="24"/>
            <w:u w:val="single"/>
          </w:rPr>
          <w:t>Pub. L. 97–354, § 3(h)</w:t>
        </w:r>
      </w:hyperlink>
      <w:r w:rsidRPr="00D349A5">
        <w:rPr>
          <w:rFonts w:ascii="Arial" w:eastAsia="Times New Roman" w:hAnsi="Arial" w:cs="Arial"/>
          <w:color w:val="333333"/>
          <w:sz w:val="24"/>
          <w:szCs w:val="24"/>
        </w:rPr>
        <w:t>, Oct. 19, 1982, </w:t>
      </w:r>
      <w:hyperlink r:id="rId58" w:history="1">
        <w:r w:rsidRPr="00D349A5">
          <w:rPr>
            <w:rFonts w:ascii="Arial" w:eastAsia="Times New Roman" w:hAnsi="Arial" w:cs="Arial"/>
            <w:color w:val="0068AC"/>
            <w:sz w:val="24"/>
            <w:szCs w:val="24"/>
            <w:u w:val="single"/>
          </w:rPr>
          <w:t>96 Stat. 1689</w:t>
        </w:r>
      </w:hyperlink>
      <w:r w:rsidRPr="00D349A5">
        <w:rPr>
          <w:rFonts w:ascii="Arial" w:eastAsia="Times New Roman" w:hAnsi="Arial" w:cs="Arial"/>
          <w:color w:val="333333"/>
          <w:sz w:val="24"/>
          <w:szCs w:val="24"/>
        </w:rPr>
        <w:t>; </w:t>
      </w:r>
      <w:hyperlink r:id="rId59" w:history="1">
        <w:r w:rsidRPr="00D349A5">
          <w:rPr>
            <w:rFonts w:ascii="Arial" w:eastAsia="Times New Roman" w:hAnsi="Arial" w:cs="Arial"/>
            <w:color w:val="0068AC"/>
            <w:sz w:val="24"/>
            <w:szCs w:val="24"/>
            <w:u w:val="single"/>
          </w:rPr>
          <w:t>Pub. L. 98–369, div. A, title I, § 174(a)</w:t>
        </w:r>
      </w:hyperlink>
      <w:r w:rsidRPr="00D349A5">
        <w:rPr>
          <w:rFonts w:ascii="Arial" w:eastAsia="Times New Roman" w:hAnsi="Arial" w:cs="Arial"/>
          <w:color w:val="333333"/>
          <w:sz w:val="24"/>
          <w:szCs w:val="24"/>
        </w:rPr>
        <w:t>–(b)(4), title VII, § 721(s), July 18, 1984, </w:t>
      </w:r>
      <w:hyperlink r:id="rId60" w:history="1">
        <w:r w:rsidRPr="00D349A5">
          <w:rPr>
            <w:rFonts w:ascii="Arial" w:eastAsia="Times New Roman" w:hAnsi="Arial" w:cs="Arial"/>
            <w:color w:val="0068AC"/>
            <w:sz w:val="24"/>
            <w:szCs w:val="24"/>
            <w:u w:val="single"/>
          </w:rPr>
          <w:t>98 Stat. 704–707</w:t>
        </w:r>
      </w:hyperlink>
      <w:r w:rsidRPr="00D349A5">
        <w:rPr>
          <w:rFonts w:ascii="Arial" w:eastAsia="Times New Roman" w:hAnsi="Arial" w:cs="Arial"/>
          <w:color w:val="333333"/>
          <w:sz w:val="24"/>
          <w:szCs w:val="24"/>
        </w:rPr>
        <w:t>, 970; </w:t>
      </w:r>
      <w:hyperlink r:id="rId61" w:history="1">
        <w:r w:rsidRPr="00D349A5">
          <w:rPr>
            <w:rFonts w:ascii="Arial" w:eastAsia="Times New Roman" w:hAnsi="Arial" w:cs="Arial"/>
            <w:color w:val="0068AC"/>
            <w:sz w:val="24"/>
            <w:szCs w:val="24"/>
            <w:u w:val="single"/>
          </w:rPr>
          <w:t>Pub. L. 99–514, title VIII</w:t>
        </w:r>
      </w:hyperlink>
      <w:r w:rsidRPr="00D349A5">
        <w:rPr>
          <w:rFonts w:ascii="Arial" w:eastAsia="Times New Roman" w:hAnsi="Arial" w:cs="Arial"/>
          <w:color w:val="333333"/>
          <w:sz w:val="24"/>
          <w:szCs w:val="24"/>
        </w:rPr>
        <w:t>, §§ 803(b)(5), 806(c)(2), title XVIII, §§ 1812(c)(1), (2), (3)(C), (4)(A), 1842(a), Oct. 22, 1986, </w:t>
      </w:r>
      <w:hyperlink r:id="rId62" w:history="1">
        <w:r w:rsidRPr="00D349A5">
          <w:rPr>
            <w:rFonts w:ascii="Arial" w:eastAsia="Times New Roman" w:hAnsi="Arial" w:cs="Arial"/>
            <w:color w:val="0068AC"/>
            <w:sz w:val="24"/>
            <w:szCs w:val="24"/>
            <w:u w:val="single"/>
          </w:rPr>
          <w:t>100 Stat. 2356</w:t>
        </w:r>
      </w:hyperlink>
      <w:r w:rsidRPr="00D349A5">
        <w:rPr>
          <w:rFonts w:ascii="Arial" w:eastAsia="Times New Roman" w:hAnsi="Arial" w:cs="Arial"/>
          <w:color w:val="333333"/>
          <w:sz w:val="24"/>
          <w:szCs w:val="24"/>
        </w:rPr>
        <w:t>, 2364, 2834, 2835, 2852; </w:t>
      </w:r>
      <w:hyperlink r:id="rId63" w:history="1">
        <w:r w:rsidRPr="00D349A5">
          <w:rPr>
            <w:rFonts w:ascii="Arial" w:eastAsia="Times New Roman" w:hAnsi="Arial" w:cs="Arial"/>
            <w:color w:val="0068AC"/>
            <w:sz w:val="24"/>
            <w:szCs w:val="24"/>
            <w:u w:val="single"/>
          </w:rPr>
          <w:t>Pub. L. 100–647, title I</w:t>
        </w:r>
      </w:hyperlink>
      <w:r w:rsidRPr="00D349A5">
        <w:rPr>
          <w:rFonts w:ascii="Arial" w:eastAsia="Times New Roman" w:hAnsi="Arial" w:cs="Arial"/>
          <w:color w:val="333333"/>
          <w:sz w:val="24"/>
          <w:szCs w:val="24"/>
        </w:rPr>
        <w:t>, §§ 1006(e)(9), 1008(e)(6), Nov. 10, 1988, </w:t>
      </w:r>
      <w:hyperlink r:id="rId64" w:history="1">
        <w:r w:rsidRPr="00D349A5">
          <w:rPr>
            <w:rFonts w:ascii="Arial" w:eastAsia="Times New Roman" w:hAnsi="Arial" w:cs="Arial"/>
            <w:color w:val="0068AC"/>
            <w:sz w:val="24"/>
            <w:szCs w:val="24"/>
            <w:u w:val="single"/>
          </w:rPr>
          <w:t>102 Stat. 3401</w:t>
        </w:r>
      </w:hyperlink>
      <w:r w:rsidRPr="00D349A5">
        <w:rPr>
          <w:rFonts w:ascii="Arial" w:eastAsia="Times New Roman" w:hAnsi="Arial" w:cs="Arial"/>
          <w:color w:val="333333"/>
          <w:sz w:val="24"/>
          <w:szCs w:val="24"/>
        </w:rPr>
        <w:t>, 3441; </w:t>
      </w:r>
      <w:hyperlink r:id="rId65" w:history="1">
        <w:r w:rsidRPr="00D349A5">
          <w:rPr>
            <w:rFonts w:ascii="Arial" w:eastAsia="Times New Roman" w:hAnsi="Arial" w:cs="Arial"/>
            <w:color w:val="0068AC"/>
            <w:sz w:val="24"/>
            <w:szCs w:val="24"/>
            <w:u w:val="single"/>
          </w:rPr>
          <w:t>Pub. L. 105–34, title XIII, § 1308(a)</w:t>
        </w:r>
      </w:hyperlink>
      <w:r w:rsidRPr="00D349A5">
        <w:rPr>
          <w:rFonts w:ascii="Arial" w:eastAsia="Times New Roman" w:hAnsi="Arial" w:cs="Arial"/>
          <w:color w:val="333333"/>
          <w:sz w:val="24"/>
          <w:szCs w:val="24"/>
        </w:rPr>
        <w:t>, title XVI, § 1604(e)(1), Aug. 5, 1997, </w:t>
      </w:r>
      <w:hyperlink r:id="rId66" w:history="1">
        <w:r w:rsidRPr="00D349A5">
          <w:rPr>
            <w:rFonts w:ascii="Arial" w:eastAsia="Times New Roman" w:hAnsi="Arial" w:cs="Arial"/>
            <w:color w:val="0068AC"/>
            <w:sz w:val="24"/>
            <w:szCs w:val="24"/>
            <w:u w:val="single"/>
          </w:rPr>
          <w:t>111 Stat. 1041</w:t>
        </w:r>
      </w:hyperlink>
      <w:r w:rsidRPr="00D349A5">
        <w:rPr>
          <w:rFonts w:ascii="Arial" w:eastAsia="Times New Roman" w:hAnsi="Arial" w:cs="Arial"/>
          <w:color w:val="333333"/>
          <w:sz w:val="24"/>
          <w:szCs w:val="24"/>
        </w:rPr>
        <w:t>, 1098; </w:t>
      </w:r>
      <w:hyperlink r:id="rId67" w:history="1">
        <w:r w:rsidRPr="00D349A5">
          <w:rPr>
            <w:rFonts w:ascii="Arial" w:eastAsia="Times New Roman" w:hAnsi="Arial" w:cs="Arial"/>
            <w:color w:val="0068AC"/>
            <w:sz w:val="24"/>
            <w:szCs w:val="24"/>
            <w:u w:val="single"/>
          </w:rPr>
          <w:t>Pub. L. 106–170, title V, § 532(c)(2)(C)</w:t>
        </w:r>
      </w:hyperlink>
      <w:r w:rsidRPr="00D349A5">
        <w:rPr>
          <w:rFonts w:ascii="Arial" w:eastAsia="Times New Roman" w:hAnsi="Arial" w:cs="Arial"/>
          <w:color w:val="333333"/>
          <w:sz w:val="24"/>
          <w:szCs w:val="24"/>
        </w:rPr>
        <w:t>, Dec. 17, 1999, </w:t>
      </w:r>
      <w:hyperlink r:id="rId68" w:history="1">
        <w:r w:rsidRPr="00D349A5">
          <w:rPr>
            <w:rFonts w:ascii="Arial" w:eastAsia="Times New Roman" w:hAnsi="Arial" w:cs="Arial"/>
            <w:color w:val="0068AC"/>
            <w:sz w:val="24"/>
            <w:szCs w:val="24"/>
            <w:u w:val="single"/>
          </w:rPr>
          <w:t>113 Stat. 1930</w:t>
        </w:r>
      </w:hyperlink>
      <w:r w:rsidRPr="00D349A5">
        <w:rPr>
          <w:rFonts w:ascii="Arial" w:eastAsia="Times New Roman" w:hAnsi="Arial" w:cs="Arial"/>
          <w:color w:val="333333"/>
          <w:sz w:val="24"/>
          <w:szCs w:val="24"/>
        </w:rPr>
        <w:t>; </w:t>
      </w:r>
      <w:hyperlink r:id="rId69" w:history="1">
        <w:r w:rsidRPr="00D349A5">
          <w:rPr>
            <w:rFonts w:ascii="Arial" w:eastAsia="Times New Roman" w:hAnsi="Arial" w:cs="Arial"/>
            <w:color w:val="0068AC"/>
            <w:sz w:val="24"/>
            <w:szCs w:val="24"/>
            <w:u w:val="single"/>
          </w:rPr>
          <w:t>Pub. L. 108–357, title VIII, § 841(b)</w:t>
        </w:r>
      </w:hyperlink>
      <w:r w:rsidRPr="00D349A5">
        <w:rPr>
          <w:rFonts w:ascii="Arial" w:eastAsia="Times New Roman" w:hAnsi="Arial" w:cs="Arial"/>
          <w:color w:val="333333"/>
          <w:sz w:val="24"/>
          <w:szCs w:val="24"/>
        </w:rPr>
        <w:t>, Oct. 22, 2004, </w:t>
      </w:r>
      <w:hyperlink r:id="rId70" w:history="1">
        <w:r w:rsidRPr="00D349A5">
          <w:rPr>
            <w:rFonts w:ascii="Arial" w:eastAsia="Times New Roman" w:hAnsi="Arial" w:cs="Arial"/>
            <w:color w:val="0068AC"/>
            <w:sz w:val="24"/>
            <w:szCs w:val="24"/>
            <w:u w:val="single"/>
          </w:rPr>
          <w:t>118 Stat. 1598</w:t>
        </w:r>
      </w:hyperlink>
      <w:r w:rsidRPr="00D349A5">
        <w:rPr>
          <w:rFonts w:ascii="Arial" w:eastAsia="Times New Roman" w:hAnsi="Arial" w:cs="Arial"/>
          <w:color w:val="333333"/>
          <w:sz w:val="24"/>
          <w:szCs w:val="24"/>
        </w:rPr>
        <w:t>; </w:t>
      </w:r>
      <w:hyperlink r:id="rId71" w:history="1">
        <w:r w:rsidRPr="00D349A5">
          <w:rPr>
            <w:rFonts w:ascii="Arial" w:eastAsia="Times New Roman" w:hAnsi="Arial" w:cs="Arial"/>
            <w:color w:val="0068AC"/>
            <w:sz w:val="24"/>
            <w:szCs w:val="24"/>
            <w:u w:val="single"/>
          </w:rPr>
          <w:t>Pub. L. 111–325, title III, § 306(b)</w:t>
        </w:r>
      </w:hyperlink>
      <w:r w:rsidRPr="00D349A5">
        <w:rPr>
          <w:rFonts w:ascii="Arial" w:eastAsia="Times New Roman" w:hAnsi="Arial" w:cs="Arial"/>
          <w:color w:val="333333"/>
          <w:sz w:val="24"/>
          <w:szCs w:val="24"/>
        </w:rPr>
        <w:t>, Dec. 22, 2010, </w:t>
      </w:r>
      <w:hyperlink r:id="rId72" w:history="1">
        <w:r w:rsidRPr="00D349A5">
          <w:rPr>
            <w:rFonts w:ascii="Arial" w:eastAsia="Times New Roman" w:hAnsi="Arial" w:cs="Arial"/>
            <w:color w:val="0068AC"/>
            <w:sz w:val="24"/>
            <w:szCs w:val="24"/>
            <w:u w:val="single"/>
          </w:rPr>
          <w:t>124 Stat. 3549</w:t>
        </w:r>
      </w:hyperlink>
      <w:r w:rsidRPr="00D349A5">
        <w:rPr>
          <w:rFonts w:ascii="Arial" w:eastAsia="Times New Roman" w:hAnsi="Arial" w:cs="Arial"/>
          <w:color w:val="333333"/>
          <w:sz w:val="24"/>
          <w:szCs w:val="24"/>
        </w:rPr>
        <w:t>; </w:t>
      </w:r>
      <w:hyperlink r:id="rId73" w:history="1">
        <w:r w:rsidRPr="00D349A5">
          <w:rPr>
            <w:rFonts w:ascii="Arial" w:eastAsia="Times New Roman" w:hAnsi="Arial" w:cs="Arial"/>
            <w:color w:val="0068AC"/>
            <w:sz w:val="24"/>
            <w:szCs w:val="24"/>
            <w:u w:val="single"/>
          </w:rPr>
          <w:t>Pub. L. 113–295, div. A, title II, § 221(a)(44)</w:t>
        </w:r>
      </w:hyperlink>
      <w:r w:rsidRPr="00D349A5">
        <w:rPr>
          <w:rFonts w:ascii="Arial" w:eastAsia="Times New Roman" w:hAnsi="Arial" w:cs="Arial"/>
          <w:color w:val="333333"/>
          <w:sz w:val="24"/>
          <w:szCs w:val="24"/>
        </w:rPr>
        <w:t>, Dec. 19, 2014, </w:t>
      </w:r>
      <w:hyperlink r:id="rId74" w:history="1">
        <w:r w:rsidRPr="00D349A5">
          <w:rPr>
            <w:rFonts w:ascii="Arial" w:eastAsia="Times New Roman" w:hAnsi="Arial" w:cs="Arial"/>
            <w:color w:val="0068AC"/>
            <w:sz w:val="24"/>
            <w:szCs w:val="24"/>
            <w:u w:val="single"/>
          </w:rPr>
          <w:t>128 Stat. 4044</w:t>
        </w:r>
      </w:hyperlink>
      <w:r w:rsidRPr="00D349A5">
        <w:rPr>
          <w:rFonts w:ascii="Arial" w:eastAsia="Times New Roman" w:hAnsi="Arial" w:cs="Arial"/>
          <w:color w:val="333333"/>
          <w:sz w:val="24"/>
          <w:szCs w:val="24"/>
        </w:rPr>
        <w:t>; </w:t>
      </w:r>
      <w:hyperlink r:id="rId75" w:history="1">
        <w:r w:rsidRPr="00D349A5">
          <w:rPr>
            <w:rFonts w:ascii="Arial" w:eastAsia="Times New Roman" w:hAnsi="Arial" w:cs="Arial"/>
            <w:color w:val="0068AC"/>
            <w:sz w:val="24"/>
            <w:szCs w:val="24"/>
            <w:u w:val="single"/>
          </w:rPr>
          <w:t>Pub. L. 114–113, div. Q, title III, § 345(a)</w:t>
        </w:r>
      </w:hyperlink>
      <w:r w:rsidRPr="00D349A5">
        <w:rPr>
          <w:rFonts w:ascii="Arial" w:eastAsia="Times New Roman" w:hAnsi="Arial" w:cs="Arial"/>
          <w:color w:val="333333"/>
          <w:sz w:val="24"/>
          <w:szCs w:val="24"/>
        </w:rPr>
        <w:t>, Dec. 18, 2015, </w:t>
      </w:r>
      <w:hyperlink r:id="rId76" w:history="1">
        <w:r w:rsidRPr="00D349A5">
          <w:rPr>
            <w:rFonts w:ascii="Arial" w:eastAsia="Times New Roman" w:hAnsi="Arial" w:cs="Arial"/>
            <w:color w:val="0068AC"/>
            <w:sz w:val="24"/>
            <w:szCs w:val="24"/>
            <w:u w:val="single"/>
          </w:rPr>
          <w:t>129 Stat. 3115</w:t>
        </w:r>
      </w:hyperlink>
      <w:r w:rsidRPr="00D349A5">
        <w:rPr>
          <w:rFonts w:ascii="Arial" w:eastAsia="Times New Roman" w:hAnsi="Arial" w:cs="Arial"/>
          <w:color w:val="333333"/>
          <w:sz w:val="24"/>
          <w:szCs w:val="24"/>
        </w:rPr>
        <w:t>.)</w:t>
      </w:r>
    </w:p>
    <w:p w14:paraId="0BAB81A3" w14:textId="77777777" w:rsidR="00FA6DD7" w:rsidRPr="00D349A5" w:rsidRDefault="00FA6DD7">
      <w:pPr>
        <w:rPr>
          <w:rFonts w:ascii="Arial" w:hAnsi="Arial" w:cs="Arial"/>
        </w:rPr>
      </w:pPr>
    </w:p>
    <w:sectPr w:rsidR="00FA6DD7" w:rsidRPr="00D349A5" w:rsidSect="00D349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A6E38"/>
    <w:multiLevelType w:val="multilevel"/>
    <w:tmpl w:val="4130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9A5"/>
    <w:rsid w:val="00424D04"/>
    <w:rsid w:val="006C539C"/>
    <w:rsid w:val="00742324"/>
    <w:rsid w:val="00D349A5"/>
    <w:rsid w:val="00FA6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9A1F"/>
  <w15:docId w15:val="{2151FFA3-4F93-449E-BA58-D0FD979B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349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9A5"/>
    <w:rPr>
      <w:rFonts w:ascii="Times New Roman" w:eastAsia="Times New Roman" w:hAnsi="Times New Roman" w:cs="Times New Roman"/>
      <w:b/>
      <w:bCs/>
      <w:kern w:val="36"/>
      <w:sz w:val="48"/>
      <w:szCs w:val="48"/>
    </w:rPr>
  </w:style>
  <w:style w:type="paragraph" w:customStyle="1" w:styleId="active">
    <w:name w:val="active"/>
    <w:basedOn w:val="Normal"/>
    <w:rsid w:val="00D349A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349A5"/>
    <w:rPr>
      <w:color w:val="0000FF"/>
      <w:u w:val="single"/>
    </w:rPr>
  </w:style>
  <w:style w:type="character" w:customStyle="1" w:styleId="num">
    <w:name w:val="num"/>
    <w:basedOn w:val="DefaultParagraphFont"/>
    <w:rsid w:val="00D349A5"/>
  </w:style>
  <w:style w:type="character" w:customStyle="1" w:styleId="heading">
    <w:name w:val="heading"/>
    <w:basedOn w:val="DefaultParagraphFont"/>
    <w:rsid w:val="00D349A5"/>
  </w:style>
  <w:style w:type="paragraph" w:styleId="NormalWeb">
    <w:name w:val="Normal (Web)"/>
    <w:basedOn w:val="Normal"/>
    <w:uiPriority w:val="99"/>
    <w:semiHidden/>
    <w:unhideWhenUsed/>
    <w:rsid w:val="00D34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peau">
    <w:name w:val="chapeau"/>
    <w:basedOn w:val="DefaultParagraphFont"/>
    <w:rsid w:val="00D349A5"/>
  </w:style>
  <w:style w:type="character" w:customStyle="1" w:styleId="Date1">
    <w:name w:val="Date1"/>
    <w:basedOn w:val="DefaultParagraphFont"/>
    <w:rsid w:val="00D349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319859">
      <w:bodyDiv w:val="1"/>
      <w:marLeft w:val="0"/>
      <w:marRight w:val="0"/>
      <w:marTop w:val="0"/>
      <w:marBottom w:val="0"/>
      <w:divBdr>
        <w:top w:val="none" w:sz="0" w:space="0" w:color="auto"/>
        <w:left w:val="none" w:sz="0" w:space="0" w:color="auto"/>
        <w:bottom w:val="none" w:sz="0" w:space="0" w:color="auto"/>
        <w:right w:val="none" w:sz="0" w:space="0" w:color="auto"/>
      </w:divBdr>
      <w:divsChild>
        <w:div w:id="249897562">
          <w:marLeft w:val="0"/>
          <w:marRight w:val="0"/>
          <w:marTop w:val="0"/>
          <w:marBottom w:val="0"/>
          <w:divBdr>
            <w:top w:val="single" w:sz="6" w:space="8" w:color="EEEEEE"/>
            <w:left w:val="single" w:sz="6" w:space="8" w:color="EEEEEE"/>
            <w:bottom w:val="single" w:sz="6" w:space="8" w:color="EEEEEE"/>
            <w:right w:val="single" w:sz="6" w:space="8" w:color="EEEEEE"/>
          </w:divBdr>
          <w:divsChild>
            <w:div w:id="1301036674">
              <w:marLeft w:val="0"/>
              <w:marRight w:val="0"/>
              <w:marTop w:val="0"/>
              <w:marBottom w:val="0"/>
              <w:divBdr>
                <w:top w:val="none" w:sz="0" w:space="0" w:color="auto"/>
                <w:left w:val="none" w:sz="0" w:space="0" w:color="auto"/>
                <w:bottom w:val="none" w:sz="0" w:space="0" w:color="auto"/>
                <w:right w:val="none" w:sz="0" w:space="0" w:color="auto"/>
              </w:divBdr>
              <w:divsChild>
                <w:div w:id="694774006">
                  <w:marLeft w:val="0"/>
                  <w:marRight w:val="0"/>
                  <w:marTop w:val="0"/>
                  <w:marBottom w:val="0"/>
                  <w:divBdr>
                    <w:top w:val="single" w:sz="6" w:space="11" w:color="EEEEEE"/>
                    <w:left w:val="none" w:sz="0" w:space="0" w:color="auto"/>
                    <w:bottom w:val="none" w:sz="0" w:space="11" w:color="auto"/>
                    <w:right w:val="none" w:sz="0" w:space="0" w:color="auto"/>
                  </w:divBdr>
                  <w:divsChild>
                    <w:div w:id="2019233327">
                      <w:marLeft w:val="0"/>
                      <w:marRight w:val="0"/>
                      <w:marTop w:val="0"/>
                      <w:marBottom w:val="0"/>
                      <w:divBdr>
                        <w:top w:val="none" w:sz="0" w:space="0" w:color="auto"/>
                        <w:left w:val="none" w:sz="0" w:space="0" w:color="auto"/>
                        <w:bottom w:val="none" w:sz="0" w:space="0" w:color="auto"/>
                        <w:right w:val="none" w:sz="0" w:space="0" w:color="auto"/>
                      </w:divBdr>
                      <w:divsChild>
                        <w:div w:id="1773014257">
                          <w:marLeft w:val="0"/>
                          <w:marRight w:val="0"/>
                          <w:marTop w:val="0"/>
                          <w:marBottom w:val="0"/>
                          <w:divBdr>
                            <w:top w:val="none" w:sz="0" w:space="0" w:color="auto"/>
                            <w:left w:val="none" w:sz="0" w:space="0" w:color="auto"/>
                            <w:bottom w:val="none" w:sz="0" w:space="0" w:color="auto"/>
                            <w:right w:val="none" w:sz="0" w:space="0" w:color="auto"/>
                          </w:divBdr>
                          <w:divsChild>
                            <w:div w:id="439374026">
                              <w:marLeft w:val="0"/>
                              <w:marRight w:val="0"/>
                              <w:marTop w:val="240"/>
                              <w:marBottom w:val="60"/>
                              <w:divBdr>
                                <w:top w:val="none" w:sz="0" w:space="0" w:color="auto"/>
                                <w:left w:val="none" w:sz="0" w:space="0" w:color="auto"/>
                                <w:bottom w:val="none" w:sz="0" w:space="0" w:color="auto"/>
                                <w:right w:val="none" w:sz="0" w:space="0" w:color="auto"/>
                              </w:divBdr>
                              <w:divsChild>
                                <w:div w:id="546602560">
                                  <w:marLeft w:val="240"/>
                                  <w:marRight w:val="0"/>
                                  <w:marTop w:val="60"/>
                                  <w:marBottom w:val="60"/>
                                  <w:divBdr>
                                    <w:top w:val="none" w:sz="0" w:space="0" w:color="auto"/>
                                    <w:left w:val="none" w:sz="0" w:space="0" w:color="auto"/>
                                    <w:bottom w:val="none" w:sz="0" w:space="0" w:color="auto"/>
                                    <w:right w:val="none" w:sz="0" w:space="0" w:color="auto"/>
                                  </w:divBdr>
                                  <w:divsChild>
                                    <w:div w:id="481312960">
                                      <w:marLeft w:val="240"/>
                                      <w:marRight w:val="0"/>
                                      <w:marTop w:val="60"/>
                                      <w:marBottom w:val="60"/>
                                      <w:divBdr>
                                        <w:top w:val="none" w:sz="0" w:space="0" w:color="auto"/>
                                        <w:left w:val="none" w:sz="0" w:space="0" w:color="auto"/>
                                        <w:bottom w:val="none" w:sz="0" w:space="0" w:color="auto"/>
                                        <w:right w:val="none" w:sz="0" w:space="0" w:color="auto"/>
                                      </w:divBdr>
                                      <w:divsChild>
                                        <w:div w:id="960038132">
                                          <w:marLeft w:val="0"/>
                                          <w:marRight w:val="0"/>
                                          <w:marTop w:val="0"/>
                                          <w:marBottom w:val="0"/>
                                          <w:divBdr>
                                            <w:top w:val="none" w:sz="0" w:space="0" w:color="auto"/>
                                            <w:left w:val="none" w:sz="0" w:space="0" w:color="auto"/>
                                            <w:bottom w:val="none" w:sz="0" w:space="0" w:color="auto"/>
                                            <w:right w:val="none" w:sz="0" w:space="0" w:color="auto"/>
                                          </w:divBdr>
                                        </w:div>
                                      </w:divsChild>
                                    </w:div>
                                    <w:div w:id="618070925">
                                      <w:marLeft w:val="240"/>
                                      <w:marRight w:val="0"/>
                                      <w:marTop w:val="60"/>
                                      <w:marBottom w:val="60"/>
                                      <w:divBdr>
                                        <w:top w:val="none" w:sz="0" w:space="0" w:color="auto"/>
                                        <w:left w:val="none" w:sz="0" w:space="0" w:color="auto"/>
                                        <w:bottom w:val="none" w:sz="0" w:space="0" w:color="auto"/>
                                        <w:right w:val="none" w:sz="0" w:space="0" w:color="auto"/>
                                      </w:divBdr>
                                      <w:divsChild>
                                        <w:div w:id="1137720869">
                                          <w:marLeft w:val="240"/>
                                          <w:marRight w:val="0"/>
                                          <w:marTop w:val="60"/>
                                          <w:marBottom w:val="60"/>
                                          <w:divBdr>
                                            <w:top w:val="none" w:sz="0" w:space="0" w:color="auto"/>
                                            <w:left w:val="none" w:sz="0" w:space="0" w:color="auto"/>
                                            <w:bottom w:val="none" w:sz="0" w:space="0" w:color="auto"/>
                                            <w:right w:val="none" w:sz="0" w:space="0" w:color="auto"/>
                                          </w:divBdr>
                                          <w:divsChild>
                                            <w:div w:id="1555577074">
                                              <w:marLeft w:val="0"/>
                                              <w:marRight w:val="0"/>
                                              <w:marTop w:val="0"/>
                                              <w:marBottom w:val="0"/>
                                              <w:divBdr>
                                                <w:top w:val="none" w:sz="0" w:space="0" w:color="auto"/>
                                                <w:left w:val="none" w:sz="0" w:space="0" w:color="auto"/>
                                                <w:bottom w:val="none" w:sz="0" w:space="0" w:color="auto"/>
                                                <w:right w:val="none" w:sz="0" w:space="0" w:color="auto"/>
                                              </w:divBdr>
                                            </w:div>
                                          </w:divsChild>
                                        </w:div>
                                        <w:div w:id="2074738999">
                                          <w:marLeft w:val="240"/>
                                          <w:marRight w:val="0"/>
                                          <w:marTop w:val="60"/>
                                          <w:marBottom w:val="60"/>
                                          <w:divBdr>
                                            <w:top w:val="none" w:sz="0" w:space="0" w:color="auto"/>
                                            <w:left w:val="none" w:sz="0" w:space="0" w:color="auto"/>
                                            <w:bottom w:val="none" w:sz="0" w:space="0" w:color="auto"/>
                                            <w:right w:val="none" w:sz="0" w:space="0" w:color="auto"/>
                                          </w:divBdr>
                                          <w:divsChild>
                                            <w:div w:id="56992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510841">
                                      <w:marLeft w:val="240"/>
                                      <w:marRight w:val="0"/>
                                      <w:marTop w:val="60"/>
                                      <w:marBottom w:val="60"/>
                                      <w:divBdr>
                                        <w:top w:val="none" w:sz="0" w:space="0" w:color="auto"/>
                                        <w:left w:val="none" w:sz="0" w:space="0" w:color="auto"/>
                                        <w:bottom w:val="none" w:sz="0" w:space="0" w:color="auto"/>
                                        <w:right w:val="none" w:sz="0" w:space="0" w:color="auto"/>
                                      </w:divBdr>
                                      <w:divsChild>
                                        <w:div w:id="1587424545">
                                          <w:marLeft w:val="240"/>
                                          <w:marRight w:val="0"/>
                                          <w:marTop w:val="60"/>
                                          <w:marBottom w:val="60"/>
                                          <w:divBdr>
                                            <w:top w:val="none" w:sz="0" w:space="0" w:color="auto"/>
                                            <w:left w:val="none" w:sz="0" w:space="0" w:color="auto"/>
                                            <w:bottom w:val="none" w:sz="0" w:space="0" w:color="auto"/>
                                            <w:right w:val="none" w:sz="0" w:space="0" w:color="auto"/>
                                          </w:divBdr>
                                          <w:divsChild>
                                            <w:div w:id="1981184298">
                                              <w:marLeft w:val="0"/>
                                              <w:marRight w:val="0"/>
                                              <w:marTop w:val="0"/>
                                              <w:marBottom w:val="0"/>
                                              <w:divBdr>
                                                <w:top w:val="none" w:sz="0" w:space="0" w:color="auto"/>
                                                <w:left w:val="none" w:sz="0" w:space="0" w:color="auto"/>
                                                <w:bottom w:val="none" w:sz="0" w:space="0" w:color="auto"/>
                                                <w:right w:val="none" w:sz="0" w:space="0" w:color="auto"/>
                                              </w:divBdr>
                                            </w:div>
                                          </w:divsChild>
                                        </w:div>
                                        <w:div w:id="1603878380">
                                          <w:marLeft w:val="240"/>
                                          <w:marRight w:val="0"/>
                                          <w:marTop w:val="60"/>
                                          <w:marBottom w:val="60"/>
                                          <w:divBdr>
                                            <w:top w:val="none" w:sz="0" w:space="0" w:color="auto"/>
                                            <w:left w:val="none" w:sz="0" w:space="0" w:color="auto"/>
                                            <w:bottom w:val="none" w:sz="0" w:space="0" w:color="auto"/>
                                            <w:right w:val="none" w:sz="0" w:space="0" w:color="auto"/>
                                          </w:divBdr>
                                          <w:divsChild>
                                            <w:div w:id="1358897160">
                                              <w:marLeft w:val="0"/>
                                              <w:marRight w:val="0"/>
                                              <w:marTop w:val="0"/>
                                              <w:marBottom w:val="0"/>
                                              <w:divBdr>
                                                <w:top w:val="none" w:sz="0" w:space="0" w:color="auto"/>
                                                <w:left w:val="none" w:sz="0" w:space="0" w:color="auto"/>
                                                <w:bottom w:val="none" w:sz="0" w:space="0" w:color="auto"/>
                                                <w:right w:val="none" w:sz="0" w:space="0" w:color="auto"/>
                                              </w:divBdr>
                                            </w:div>
                                          </w:divsChild>
                                        </w:div>
                                        <w:div w:id="1609583547">
                                          <w:marLeft w:val="240"/>
                                          <w:marRight w:val="0"/>
                                          <w:marTop w:val="60"/>
                                          <w:marBottom w:val="60"/>
                                          <w:divBdr>
                                            <w:top w:val="none" w:sz="0" w:space="0" w:color="auto"/>
                                            <w:left w:val="none" w:sz="0" w:space="0" w:color="auto"/>
                                            <w:bottom w:val="none" w:sz="0" w:space="0" w:color="auto"/>
                                            <w:right w:val="none" w:sz="0" w:space="0" w:color="auto"/>
                                          </w:divBdr>
                                          <w:divsChild>
                                            <w:div w:id="35391869">
                                              <w:marLeft w:val="240"/>
                                              <w:marRight w:val="0"/>
                                              <w:marTop w:val="60"/>
                                              <w:marBottom w:val="60"/>
                                              <w:divBdr>
                                                <w:top w:val="none" w:sz="0" w:space="0" w:color="auto"/>
                                                <w:left w:val="none" w:sz="0" w:space="0" w:color="auto"/>
                                                <w:bottom w:val="none" w:sz="0" w:space="0" w:color="auto"/>
                                                <w:right w:val="none" w:sz="0" w:space="0" w:color="auto"/>
                                              </w:divBdr>
                                              <w:divsChild>
                                                <w:div w:id="234823522">
                                                  <w:marLeft w:val="0"/>
                                                  <w:marRight w:val="0"/>
                                                  <w:marTop w:val="0"/>
                                                  <w:marBottom w:val="0"/>
                                                  <w:divBdr>
                                                    <w:top w:val="none" w:sz="0" w:space="0" w:color="auto"/>
                                                    <w:left w:val="none" w:sz="0" w:space="0" w:color="auto"/>
                                                    <w:bottom w:val="none" w:sz="0" w:space="0" w:color="auto"/>
                                                    <w:right w:val="none" w:sz="0" w:space="0" w:color="auto"/>
                                                  </w:divBdr>
                                                </w:div>
                                              </w:divsChild>
                                            </w:div>
                                            <w:div w:id="238759968">
                                              <w:marLeft w:val="240"/>
                                              <w:marRight w:val="0"/>
                                              <w:marTop w:val="60"/>
                                              <w:marBottom w:val="60"/>
                                              <w:divBdr>
                                                <w:top w:val="none" w:sz="0" w:space="0" w:color="auto"/>
                                                <w:left w:val="none" w:sz="0" w:space="0" w:color="auto"/>
                                                <w:bottom w:val="none" w:sz="0" w:space="0" w:color="auto"/>
                                                <w:right w:val="none" w:sz="0" w:space="0" w:color="auto"/>
                                              </w:divBdr>
                                              <w:divsChild>
                                                <w:div w:id="1279991820">
                                                  <w:marLeft w:val="0"/>
                                                  <w:marRight w:val="0"/>
                                                  <w:marTop w:val="0"/>
                                                  <w:marBottom w:val="0"/>
                                                  <w:divBdr>
                                                    <w:top w:val="none" w:sz="0" w:space="0" w:color="auto"/>
                                                    <w:left w:val="none" w:sz="0" w:space="0" w:color="auto"/>
                                                    <w:bottom w:val="none" w:sz="0" w:space="0" w:color="auto"/>
                                                    <w:right w:val="none" w:sz="0" w:space="0" w:color="auto"/>
                                                  </w:divBdr>
                                                </w:div>
                                              </w:divsChild>
                                            </w:div>
                                            <w:div w:id="832375531">
                                              <w:marLeft w:val="240"/>
                                              <w:marRight w:val="0"/>
                                              <w:marTop w:val="60"/>
                                              <w:marBottom w:val="60"/>
                                              <w:divBdr>
                                                <w:top w:val="none" w:sz="0" w:space="0" w:color="auto"/>
                                                <w:left w:val="none" w:sz="0" w:space="0" w:color="auto"/>
                                                <w:bottom w:val="none" w:sz="0" w:space="0" w:color="auto"/>
                                                <w:right w:val="none" w:sz="0" w:space="0" w:color="auto"/>
                                              </w:divBdr>
                                              <w:divsChild>
                                                <w:div w:id="268977722">
                                                  <w:marLeft w:val="0"/>
                                                  <w:marRight w:val="0"/>
                                                  <w:marTop w:val="0"/>
                                                  <w:marBottom w:val="0"/>
                                                  <w:divBdr>
                                                    <w:top w:val="none" w:sz="0" w:space="0" w:color="auto"/>
                                                    <w:left w:val="none" w:sz="0" w:space="0" w:color="auto"/>
                                                    <w:bottom w:val="none" w:sz="0" w:space="0" w:color="auto"/>
                                                    <w:right w:val="none" w:sz="0" w:space="0" w:color="auto"/>
                                                  </w:divBdr>
                                                </w:div>
                                              </w:divsChild>
                                            </w:div>
                                            <w:div w:id="1018586438">
                                              <w:marLeft w:val="240"/>
                                              <w:marRight w:val="0"/>
                                              <w:marTop w:val="60"/>
                                              <w:marBottom w:val="60"/>
                                              <w:divBdr>
                                                <w:top w:val="none" w:sz="0" w:space="0" w:color="auto"/>
                                                <w:left w:val="none" w:sz="0" w:space="0" w:color="auto"/>
                                                <w:bottom w:val="none" w:sz="0" w:space="0" w:color="auto"/>
                                                <w:right w:val="none" w:sz="0" w:space="0" w:color="auto"/>
                                              </w:divBdr>
                                              <w:divsChild>
                                                <w:div w:id="196334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12995">
                                          <w:marLeft w:val="240"/>
                                          <w:marRight w:val="0"/>
                                          <w:marTop w:val="60"/>
                                          <w:marBottom w:val="60"/>
                                          <w:divBdr>
                                            <w:top w:val="none" w:sz="0" w:space="0" w:color="auto"/>
                                            <w:left w:val="none" w:sz="0" w:space="0" w:color="auto"/>
                                            <w:bottom w:val="none" w:sz="0" w:space="0" w:color="auto"/>
                                            <w:right w:val="none" w:sz="0" w:space="0" w:color="auto"/>
                                          </w:divBdr>
                                          <w:divsChild>
                                            <w:div w:id="118228305">
                                              <w:marLeft w:val="240"/>
                                              <w:marRight w:val="0"/>
                                              <w:marTop w:val="60"/>
                                              <w:marBottom w:val="60"/>
                                              <w:divBdr>
                                                <w:top w:val="none" w:sz="0" w:space="0" w:color="auto"/>
                                                <w:left w:val="none" w:sz="0" w:space="0" w:color="auto"/>
                                                <w:bottom w:val="none" w:sz="0" w:space="0" w:color="auto"/>
                                                <w:right w:val="none" w:sz="0" w:space="0" w:color="auto"/>
                                              </w:divBdr>
                                              <w:divsChild>
                                                <w:div w:id="1631547286">
                                                  <w:marLeft w:val="0"/>
                                                  <w:marRight w:val="0"/>
                                                  <w:marTop w:val="0"/>
                                                  <w:marBottom w:val="0"/>
                                                  <w:divBdr>
                                                    <w:top w:val="none" w:sz="0" w:space="0" w:color="auto"/>
                                                    <w:left w:val="none" w:sz="0" w:space="0" w:color="auto"/>
                                                    <w:bottom w:val="none" w:sz="0" w:space="0" w:color="auto"/>
                                                    <w:right w:val="none" w:sz="0" w:space="0" w:color="auto"/>
                                                  </w:divBdr>
                                                </w:div>
                                              </w:divsChild>
                                            </w:div>
                                            <w:div w:id="620569632">
                                              <w:marLeft w:val="240"/>
                                              <w:marRight w:val="0"/>
                                              <w:marTop w:val="60"/>
                                              <w:marBottom w:val="60"/>
                                              <w:divBdr>
                                                <w:top w:val="none" w:sz="0" w:space="0" w:color="auto"/>
                                                <w:left w:val="none" w:sz="0" w:space="0" w:color="auto"/>
                                                <w:bottom w:val="none" w:sz="0" w:space="0" w:color="auto"/>
                                                <w:right w:val="none" w:sz="0" w:space="0" w:color="auto"/>
                                              </w:divBdr>
                                              <w:divsChild>
                                                <w:div w:id="198229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251746">
                                      <w:marLeft w:val="240"/>
                                      <w:marRight w:val="0"/>
                                      <w:marTop w:val="60"/>
                                      <w:marBottom w:val="60"/>
                                      <w:divBdr>
                                        <w:top w:val="none" w:sz="0" w:space="0" w:color="auto"/>
                                        <w:left w:val="none" w:sz="0" w:space="0" w:color="auto"/>
                                        <w:bottom w:val="none" w:sz="0" w:space="0" w:color="auto"/>
                                        <w:right w:val="none" w:sz="0" w:space="0" w:color="auto"/>
                                      </w:divBdr>
                                      <w:divsChild>
                                        <w:div w:id="1072241237">
                                          <w:marLeft w:val="240"/>
                                          <w:marRight w:val="0"/>
                                          <w:marTop w:val="60"/>
                                          <w:marBottom w:val="60"/>
                                          <w:divBdr>
                                            <w:top w:val="none" w:sz="0" w:space="0" w:color="auto"/>
                                            <w:left w:val="none" w:sz="0" w:space="0" w:color="auto"/>
                                            <w:bottom w:val="none" w:sz="0" w:space="0" w:color="auto"/>
                                            <w:right w:val="none" w:sz="0" w:space="0" w:color="auto"/>
                                          </w:divBdr>
                                          <w:divsChild>
                                            <w:div w:id="1460025019">
                                              <w:marLeft w:val="0"/>
                                              <w:marRight w:val="0"/>
                                              <w:marTop w:val="0"/>
                                              <w:marBottom w:val="0"/>
                                              <w:divBdr>
                                                <w:top w:val="none" w:sz="0" w:space="0" w:color="auto"/>
                                                <w:left w:val="none" w:sz="0" w:space="0" w:color="auto"/>
                                                <w:bottom w:val="none" w:sz="0" w:space="0" w:color="auto"/>
                                                <w:right w:val="none" w:sz="0" w:space="0" w:color="auto"/>
                                              </w:divBdr>
                                            </w:div>
                                          </w:divsChild>
                                        </w:div>
                                        <w:div w:id="1093285892">
                                          <w:marLeft w:val="240"/>
                                          <w:marRight w:val="0"/>
                                          <w:marTop w:val="60"/>
                                          <w:marBottom w:val="60"/>
                                          <w:divBdr>
                                            <w:top w:val="none" w:sz="0" w:space="0" w:color="auto"/>
                                            <w:left w:val="none" w:sz="0" w:space="0" w:color="auto"/>
                                            <w:bottom w:val="none" w:sz="0" w:space="0" w:color="auto"/>
                                            <w:right w:val="none" w:sz="0" w:space="0" w:color="auto"/>
                                          </w:divBdr>
                                          <w:divsChild>
                                            <w:div w:id="8019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359528">
                                  <w:marLeft w:val="240"/>
                                  <w:marRight w:val="0"/>
                                  <w:marTop w:val="60"/>
                                  <w:marBottom w:val="60"/>
                                  <w:divBdr>
                                    <w:top w:val="none" w:sz="0" w:space="0" w:color="auto"/>
                                    <w:left w:val="none" w:sz="0" w:space="0" w:color="auto"/>
                                    <w:bottom w:val="none" w:sz="0" w:space="0" w:color="auto"/>
                                    <w:right w:val="none" w:sz="0" w:space="0" w:color="auto"/>
                                  </w:divBdr>
                                  <w:divsChild>
                                    <w:div w:id="934332">
                                      <w:marLeft w:val="240"/>
                                      <w:marRight w:val="0"/>
                                      <w:marTop w:val="60"/>
                                      <w:marBottom w:val="60"/>
                                      <w:divBdr>
                                        <w:top w:val="none" w:sz="0" w:space="0" w:color="auto"/>
                                        <w:left w:val="none" w:sz="0" w:space="0" w:color="auto"/>
                                        <w:bottom w:val="none" w:sz="0" w:space="0" w:color="auto"/>
                                        <w:right w:val="none" w:sz="0" w:space="0" w:color="auto"/>
                                      </w:divBdr>
                                      <w:divsChild>
                                        <w:div w:id="39791470">
                                          <w:marLeft w:val="240"/>
                                          <w:marRight w:val="0"/>
                                          <w:marTop w:val="60"/>
                                          <w:marBottom w:val="60"/>
                                          <w:divBdr>
                                            <w:top w:val="none" w:sz="0" w:space="0" w:color="auto"/>
                                            <w:left w:val="none" w:sz="0" w:space="0" w:color="auto"/>
                                            <w:bottom w:val="none" w:sz="0" w:space="0" w:color="auto"/>
                                            <w:right w:val="none" w:sz="0" w:space="0" w:color="auto"/>
                                          </w:divBdr>
                                          <w:divsChild>
                                            <w:div w:id="1111775729">
                                              <w:marLeft w:val="240"/>
                                              <w:marRight w:val="0"/>
                                              <w:marTop w:val="60"/>
                                              <w:marBottom w:val="60"/>
                                              <w:divBdr>
                                                <w:top w:val="none" w:sz="0" w:space="0" w:color="auto"/>
                                                <w:left w:val="none" w:sz="0" w:space="0" w:color="auto"/>
                                                <w:bottom w:val="none" w:sz="0" w:space="0" w:color="auto"/>
                                                <w:right w:val="none" w:sz="0" w:space="0" w:color="auto"/>
                                              </w:divBdr>
                                              <w:divsChild>
                                                <w:div w:id="660499879">
                                                  <w:marLeft w:val="0"/>
                                                  <w:marRight w:val="0"/>
                                                  <w:marTop w:val="0"/>
                                                  <w:marBottom w:val="0"/>
                                                  <w:divBdr>
                                                    <w:top w:val="none" w:sz="0" w:space="0" w:color="auto"/>
                                                    <w:left w:val="none" w:sz="0" w:space="0" w:color="auto"/>
                                                    <w:bottom w:val="none" w:sz="0" w:space="0" w:color="auto"/>
                                                    <w:right w:val="none" w:sz="0" w:space="0" w:color="auto"/>
                                                  </w:divBdr>
                                                </w:div>
                                              </w:divsChild>
                                            </w:div>
                                            <w:div w:id="1503933558">
                                              <w:marLeft w:val="240"/>
                                              <w:marRight w:val="0"/>
                                              <w:marTop w:val="60"/>
                                              <w:marBottom w:val="60"/>
                                              <w:divBdr>
                                                <w:top w:val="none" w:sz="0" w:space="0" w:color="auto"/>
                                                <w:left w:val="none" w:sz="0" w:space="0" w:color="auto"/>
                                                <w:bottom w:val="none" w:sz="0" w:space="0" w:color="auto"/>
                                                <w:right w:val="none" w:sz="0" w:space="0" w:color="auto"/>
                                              </w:divBdr>
                                              <w:divsChild>
                                                <w:div w:id="119118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660530">
                                          <w:marLeft w:val="240"/>
                                          <w:marRight w:val="0"/>
                                          <w:marTop w:val="60"/>
                                          <w:marBottom w:val="60"/>
                                          <w:divBdr>
                                            <w:top w:val="none" w:sz="0" w:space="0" w:color="auto"/>
                                            <w:left w:val="none" w:sz="0" w:space="0" w:color="auto"/>
                                            <w:bottom w:val="none" w:sz="0" w:space="0" w:color="auto"/>
                                            <w:right w:val="none" w:sz="0" w:space="0" w:color="auto"/>
                                          </w:divBdr>
                                          <w:divsChild>
                                            <w:div w:id="1003239088">
                                              <w:marLeft w:val="1020"/>
                                              <w:marRight w:val="0"/>
                                              <w:marTop w:val="0"/>
                                              <w:marBottom w:val="0"/>
                                              <w:divBdr>
                                                <w:top w:val="none" w:sz="0" w:space="0" w:color="auto"/>
                                                <w:left w:val="none" w:sz="0" w:space="0" w:color="auto"/>
                                                <w:bottom w:val="none" w:sz="0" w:space="0" w:color="auto"/>
                                                <w:right w:val="none" w:sz="0" w:space="0" w:color="auto"/>
                                              </w:divBdr>
                                            </w:div>
                                            <w:div w:id="1121612272">
                                              <w:marLeft w:val="240"/>
                                              <w:marRight w:val="0"/>
                                              <w:marTop w:val="60"/>
                                              <w:marBottom w:val="60"/>
                                              <w:divBdr>
                                                <w:top w:val="none" w:sz="0" w:space="0" w:color="auto"/>
                                                <w:left w:val="none" w:sz="0" w:space="0" w:color="auto"/>
                                                <w:bottom w:val="none" w:sz="0" w:space="0" w:color="auto"/>
                                                <w:right w:val="none" w:sz="0" w:space="0" w:color="auto"/>
                                              </w:divBdr>
                                              <w:divsChild>
                                                <w:div w:id="1575898072">
                                                  <w:marLeft w:val="0"/>
                                                  <w:marRight w:val="0"/>
                                                  <w:marTop w:val="0"/>
                                                  <w:marBottom w:val="0"/>
                                                  <w:divBdr>
                                                    <w:top w:val="none" w:sz="0" w:space="0" w:color="auto"/>
                                                    <w:left w:val="none" w:sz="0" w:space="0" w:color="auto"/>
                                                    <w:bottom w:val="none" w:sz="0" w:space="0" w:color="auto"/>
                                                    <w:right w:val="none" w:sz="0" w:space="0" w:color="auto"/>
                                                  </w:divBdr>
                                                </w:div>
                                              </w:divsChild>
                                            </w:div>
                                            <w:div w:id="1222866815">
                                              <w:marLeft w:val="240"/>
                                              <w:marRight w:val="0"/>
                                              <w:marTop w:val="60"/>
                                              <w:marBottom w:val="60"/>
                                              <w:divBdr>
                                                <w:top w:val="none" w:sz="0" w:space="0" w:color="auto"/>
                                                <w:left w:val="none" w:sz="0" w:space="0" w:color="auto"/>
                                                <w:bottom w:val="none" w:sz="0" w:space="0" w:color="auto"/>
                                                <w:right w:val="none" w:sz="0" w:space="0" w:color="auto"/>
                                              </w:divBdr>
                                              <w:divsChild>
                                                <w:div w:id="78427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99238">
                                          <w:marLeft w:val="240"/>
                                          <w:marRight w:val="0"/>
                                          <w:marTop w:val="60"/>
                                          <w:marBottom w:val="60"/>
                                          <w:divBdr>
                                            <w:top w:val="none" w:sz="0" w:space="0" w:color="auto"/>
                                            <w:left w:val="none" w:sz="0" w:space="0" w:color="auto"/>
                                            <w:bottom w:val="none" w:sz="0" w:space="0" w:color="auto"/>
                                            <w:right w:val="none" w:sz="0" w:space="0" w:color="auto"/>
                                          </w:divBdr>
                                          <w:divsChild>
                                            <w:div w:id="904729170">
                                              <w:marLeft w:val="240"/>
                                              <w:marRight w:val="0"/>
                                              <w:marTop w:val="60"/>
                                              <w:marBottom w:val="60"/>
                                              <w:divBdr>
                                                <w:top w:val="none" w:sz="0" w:space="0" w:color="auto"/>
                                                <w:left w:val="none" w:sz="0" w:space="0" w:color="auto"/>
                                                <w:bottom w:val="none" w:sz="0" w:space="0" w:color="auto"/>
                                                <w:right w:val="none" w:sz="0" w:space="0" w:color="auto"/>
                                              </w:divBdr>
                                              <w:divsChild>
                                                <w:div w:id="872890234">
                                                  <w:marLeft w:val="0"/>
                                                  <w:marRight w:val="0"/>
                                                  <w:marTop w:val="0"/>
                                                  <w:marBottom w:val="0"/>
                                                  <w:divBdr>
                                                    <w:top w:val="none" w:sz="0" w:space="0" w:color="auto"/>
                                                    <w:left w:val="none" w:sz="0" w:space="0" w:color="auto"/>
                                                    <w:bottom w:val="none" w:sz="0" w:space="0" w:color="auto"/>
                                                    <w:right w:val="none" w:sz="0" w:space="0" w:color="auto"/>
                                                  </w:divBdr>
                                                </w:div>
                                              </w:divsChild>
                                            </w:div>
                                            <w:div w:id="1874537306">
                                              <w:marLeft w:val="240"/>
                                              <w:marRight w:val="0"/>
                                              <w:marTop w:val="60"/>
                                              <w:marBottom w:val="60"/>
                                              <w:divBdr>
                                                <w:top w:val="none" w:sz="0" w:space="0" w:color="auto"/>
                                                <w:left w:val="none" w:sz="0" w:space="0" w:color="auto"/>
                                                <w:bottom w:val="none" w:sz="0" w:space="0" w:color="auto"/>
                                                <w:right w:val="none" w:sz="0" w:space="0" w:color="auto"/>
                                              </w:divBdr>
                                              <w:divsChild>
                                                <w:div w:id="101581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297852">
                                          <w:marLeft w:val="240"/>
                                          <w:marRight w:val="0"/>
                                          <w:marTop w:val="60"/>
                                          <w:marBottom w:val="60"/>
                                          <w:divBdr>
                                            <w:top w:val="none" w:sz="0" w:space="0" w:color="auto"/>
                                            <w:left w:val="none" w:sz="0" w:space="0" w:color="auto"/>
                                            <w:bottom w:val="none" w:sz="0" w:space="0" w:color="auto"/>
                                            <w:right w:val="none" w:sz="0" w:space="0" w:color="auto"/>
                                          </w:divBdr>
                                          <w:divsChild>
                                            <w:div w:id="1654291484">
                                              <w:marLeft w:val="240"/>
                                              <w:marRight w:val="0"/>
                                              <w:marTop w:val="60"/>
                                              <w:marBottom w:val="60"/>
                                              <w:divBdr>
                                                <w:top w:val="none" w:sz="0" w:space="0" w:color="auto"/>
                                                <w:left w:val="none" w:sz="0" w:space="0" w:color="auto"/>
                                                <w:bottom w:val="none" w:sz="0" w:space="0" w:color="auto"/>
                                                <w:right w:val="none" w:sz="0" w:space="0" w:color="auto"/>
                                              </w:divBdr>
                                              <w:divsChild>
                                                <w:div w:id="1144271331">
                                                  <w:marLeft w:val="0"/>
                                                  <w:marRight w:val="0"/>
                                                  <w:marTop w:val="0"/>
                                                  <w:marBottom w:val="0"/>
                                                  <w:divBdr>
                                                    <w:top w:val="none" w:sz="0" w:space="0" w:color="auto"/>
                                                    <w:left w:val="none" w:sz="0" w:space="0" w:color="auto"/>
                                                    <w:bottom w:val="none" w:sz="0" w:space="0" w:color="auto"/>
                                                    <w:right w:val="none" w:sz="0" w:space="0" w:color="auto"/>
                                                  </w:divBdr>
                                                </w:div>
                                              </w:divsChild>
                                            </w:div>
                                            <w:div w:id="2065520364">
                                              <w:marLeft w:val="240"/>
                                              <w:marRight w:val="0"/>
                                              <w:marTop w:val="60"/>
                                              <w:marBottom w:val="60"/>
                                              <w:divBdr>
                                                <w:top w:val="none" w:sz="0" w:space="0" w:color="auto"/>
                                                <w:left w:val="none" w:sz="0" w:space="0" w:color="auto"/>
                                                <w:bottom w:val="none" w:sz="0" w:space="0" w:color="auto"/>
                                                <w:right w:val="none" w:sz="0" w:space="0" w:color="auto"/>
                                              </w:divBdr>
                                              <w:divsChild>
                                                <w:div w:id="21073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12154">
                                      <w:marLeft w:val="240"/>
                                      <w:marRight w:val="0"/>
                                      <w:marTop w:val="60"/>
                                      <w:marBottom w:val="60"/>
                                      <w:divBdr>
                                        <w:top w:val="none" w:sz="0" w:space="0" w:color="auto"/>
                                        <w:left w:val="none" w:sz="0" w:space="0" w:color="auto"/>
                                        <w:bottom w:val="none" w:sz="0" w:space="0" w:color="auto"/>
                                        <w:right w:val="none" w:sz="0" w:space="0" w:color="auto"/>
                                      </w:divBdr>
                                      <w:divsChild>
                                        <w:div w:id="413748578">
                                          <w:marLeft w:val="240"/>
                                          <w:marRight w:val="0"/>
                                          <w:marTop w:val="60"/>
                                          <w:marBottom w:val="60"/>
                                          <w:divBdr>
                                            <w:top w:val="none" w:sz="0" w:space="0" w:color="auto"/>
                                            <w:left w:val="none" w:sz="0" w:space="0" w:color="auto"/>
                                            <w:bottom w:val="none" w:sz="0" w:space="0" w:color="auto"/>
                                            <w:right w:val="none" w:sz="0" w:space="0" w:color="auto"/>
                                          </w:divBdr>
                                          <w:divsChild>
                                            <w:div w:id="1062289229">
                                              <w:marLeft w:val="0"/>
                                              <w:marRight w:val="0"/>
                                              <w:marTop w:val="0"/>
                                              <w:marBottom w:val="0"/>
                                              <w:divBdr>
                                                <w:top w:val="none" w:sz="0" w:space="0" w:color="auto"/>
                                                <w:left w:val="none" w:sz="0" w:space="0" w:color="auto"/>
                                                <w:bottom w:val="none" w:sz="0" w:space="0" w:color="auto"/>
                                                <w:right w:val="none" w:sz="0" w:space="0" w:color="auto"/>
                                              </w:divBdr>
                                            </w:div>
                                          </w:divsChild>
                                        </w:div>
                                        <w:div w:id="1534263837">
                                          <w:marLeft w:val="240"/>
                                          <w:marRight w:val="0"/>
                                          <w:marTop w:val="60"/>
                                          <w:marBottom w:val="60"/>
                                          <w:divBdr>
                                            <w:top w:val="none" w:sz="0" w:space="0" w:color="auto"/>
                                            <w:left w:val="none" w:sz="0" w:space="0" w:color="auto"/>
                                            <w:bottom w:val="none" w:sz="0" w:space="0" w:color="auto"/>
                                            <w:right w:val="none" w:sz="0" w:space="0" w:color="auto"/>
                                          </w:divBdr>
                                          <w:divsChild>
                                            <w:div w:id="119742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44581">
                                      <w:marLeft w:val="240"/>
                                      <w:marRight w:val="0"/>
                                      <w:marTop w:val="60"/>
                                      <w:marBottom w:val="60"/>
                                      <w:divBdr>
                                        <w:top w:val="none" w:sz="0" w:space="0" w:color="auto"/>
                                        <w:left w:val="none" w:sz="0" w:space="0" w:color="auto"/>
                                        <w:bottom w:val="none" w:sz="0" w:space="0" w:color="auto"/>
                                        <w:right w:val="none" w:sz="0" w:space="0" w:color="auto"/>
                                      </w:divBdr>
                                      <w:divsChild>
                                        <w:div w:id="225994887">
                                          <w:marLeft w:val="240"/>
                                          <w:marRight w:val="0"/>
                                          <w:marTop w:val="60"/>
                                          <w:marBottom w:val="60"/>
                                          <w:divBdr>
                                            <w:top w:val="none" w:sz="0" w:space="0" w:color="auto"/>
                                            <w:left w:val="none" w:sz="0" w:space="0" w:color="auto"/>
                                            <w:bottom w:val="none" w:sz="0" w:space="0" w:color="auto"/>
                                            <w:right w:val="none" w:sz="0" w:space="0" w:color="auto"/>
                                          </w:divBdr>
                                          <w:divsChild>
                                            <w:div w:id="775293746">
                                              <w:marLeft w:val="0"/>
                                              <w:marRight w:val="0"/>
                                              <w:marTop w:val="0"/>
                                              <w:marBottom w:val="0"/>
                                              <w:divBdr>
                                                <w:top w:val="none" w:sz="0" w:space="0" w:color="auto"/>
                                                <w:left w:val="none" w:sz="0" w:space="0" w:color="auto"/>
                                                <w:bottom w:val="none" w:sz="0" w:space="0" w:color="auto"/>
                                                <w:right w:val="none" w:sz="0" w:space="0" w:color="auto"/>
                                              </w:divBdr>
                                            </w:div>
                                          </w:divsChild>
                                        </w:div>
                                        <w:div w:id="974724313">
                                          <w:marLeft w:val="240"/>
                                          <w:marRight w:val="0"/>
                                          <w:marTop w:val="60"/>
                                          <w:marBottom w:val="60"/>
                                          <w:divBdr>
                                            <w:top w:val="none" w:sz="0" w:space="0" w:color="auto"/>
                                            <w:left w:val="none" w:sz="0" w:space="0" w:color="auto"/>
                                            <w:bottom w:val="none" w:sz="0" w:space="0" w:color="auto"/>
                                            <w:right w:val="none" w:sz="0" w:space="0" w:color="auto"/>
                                          </w:divBdr>
                                          <w:divsChild>
                                            <w:div w:id="77942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965787">
                                      <w:marLeft w:val="240"/>
                                      <w:marRight w:val="0"/>
                                      <w:marTop w:val="60"/>
                                      <w:marBottom w:val="60"/>
                                      <w:divBdr>
                                        <w:top w:val="none" w:sz="0" w:space="0" w:color="auto"/>
                                        <w:left w:val="none" w:sz="0" w:space="0" w:color="auto"/>
                                        <w:bottom w:val="none" w:sz="0" w:space="0" w:color="auto"/>
                                        <w:right w:val="none" w:sz="0" w:space="0" w:color="auto"/>
                                      </w:divBdr>
                                      <w:divsChild>
                                        <w:div w:id="807550246">
                                          <w:marLeft w:val="240"/>
                                          <w:marRight w:val="0"/>
                                          <w:marTop w:val="60"/>
                                          <w:marBottom w:val="60"/>
                                          <w:divBdr>
                                            <w:top w:val="none" w:sz="0" w:space="0" w:color="auto"/>
                                            <w:left w:val="none" w:sz="0" w:space="0" w:color="auto"/>
                                            <w:bottom w:val="none" w:sz="0" w:space="0" w:color="auto"/>
                                            <w:right w:val="none" w:sz="0" w:space="0" w:color="auto"/>
                                          </w:divBdr>
                                          <w:divsChild>
                                            <w:div w:id="1503351218">
                                              <w:marLeft w:val="0"/>
                                              <w:marRight w:val="0"/>
                                              <w:marTop w:val="0"/>
                                              <w:marBottom w:val="0"/>
                                              <w:divBdr>
                                                <w:top w:val="none" w:sz="0" w:space="0" w:color="auto"/>
                                                <w:left w:val="none" w:sz="0" w:space="0" w:color="auto"/>
                                                <w:bottom w:val="none" w:sz="0" w:space="0" w:color="auto"/>
                                                <w:right w:val="none" w:sz="0" w:space="0" w:color="auto"/>
                                              </w:divBdr>
                                            </w:div>
                                          </w:divsChild>
                                        </w:div>
                                        <w:div w:id="1390616051">
                                          <w:marLeft w:val="240"/>
                                          <w:marRight w:val="0"/>
                                          <w:marTop w:val="60"/>
                                          <w:marBottom w:val="60"/>
                                          <w:divBdr>
                                            <w:top w:val="none" w:sz="0" w:space="0" w:color="auto"/>
                                            <w:left w:val="none" w:sz="0" w:space="0" w:color="auto"/>
                                            <w:bottom w:val="none" w:sz="0" w:space="0" w:color="auto"/>
                                            <w:right w:val="none" w:sz="0" w:space="0" w:color="auto"/>
                                          </w:divBdr>
                                          <w:divsChild>
                                            <w:div w:id="1931770050">
                                              <w:marLeft w:val="0"/>
                                              <w:marRight w:val="0"/>
                                              <w:marTop w:val="0"/>
                                              <w:marBottom w:val="0"/>
                                              <w:divBdr>
                                                <w:top w:val="none" w:sz="0" w:space="0" w:color="auto"/>
                                                <w:left w:val="none" w:sz="0" w:space="0" w:color="auto"/>
                                                <w:bottom w:val="none" w:sz="0" w:space="0" w:color="auto"/>
                                                <w:right w:val="none" w:sz="0" w:space="0" w:color="auto"/>
                                              </w:divBdr>
                                            </w:div>
                                          </w:divsChild>
                                        </w:div>
                                        <w:div w:id="1512833391">
                                          <w:marLeft w:val="240"/>
                                          <w:marRight w:val="0"/>
                                          <w:marTop w:val="60"/>
                                          <w:marBottom w:val="60"/>
                                          <w:divBdr>
                                            <w:top w:val="none" w:sz="0" w:space="0" w:color="auto"/>
                                            <w:left w:val="none" w:sz="0" w:space="0" w:color="auto"/>
                                            <w:bottom w:val="none" w:sz="0" w:space="0" w:color="auto"/>
                                            <w:right w:val="none" w:sz="0" w:space="0" w:color="auto"/>
                                          </w:divBdr>
                                          <w:divsChild>
                                            <w:div w:id="241767965">
                                              <w:marLeft w:val="240"/>
                                              <w:marRight w:val="0"/>
                                              <w:marTop w:val="60"/>
                                              <w:marBottom w:val="60"/>
                                              <w:divBdr>
                                                <w:top w:val="none" w:sz="0" w:space="0" w:color="auto"/>
                                                <w:left w:val="none" w:sz="0" w:space="0" w:color="auto"/>
                                                <w:bottom w:val="none" w:sz="0" w:space="0" w:color="auto"/>
                                                <w:right w:val="none" w:sz="0" w:space="0" w:color="auto"/>
                                              </w:divBdr>
                                              <w:divsChild>
                                                <w:div w:id="1325354417">
                                                  <w:marLeft w:val="0"/>
                                                  <w:marRight w:val="0"/>
                                                  <w:marTop w:val="0"/>
                                                  <w:marBottom w:val="0"/>
                                                  <w:divBdr>
                                                    <w:top w:val="none" w:sz="0" w:space="0" w:color="auto"/>
                                                    <w:left w:val="none" w:sz="0" w:space="0" w:color="auto"/>
                                                    <w:bottom w:val="none" w:sz="0" w:space="0" w:color="auto"/>
                                                    <w:right w:val="none" w:sz="0" w:space="0" w:color="auto"/>
                                                  </w:divBdr>
                                                </w:div>
                                              </w:divsChild>
                                            </w:div>
                                            <w:div w:id="2026587843">
                                              <w:marLeft w:val="240"/>
                                              <w:marRight w:val="0"/>
                                              <w:marTop w:val="60"/>
                                              <w:marBottom w:val="60"/>
                                              <w:divBdr>
                                                <w:top w:val="none" w:sz="0" w:space="0" w:color="auto"/>
                                                <w:left w:val="none" w:sz="0" w:space="0" w:color="auto"/>
                                                <w:bottom w:val="none" w:sz="0" w:space="0" w:color="auto"/>
                                                <w:right w:val="none" w:sz="0" w:space="0" w:color="auto"/>
                                              </w:divBdr>
                                              <w:divsChild>
                                                <w:div w:id="18466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3836">
                                          <w:marLeft w:val="1036"/>
                                          <w:marRight w:val="0"/>
                                          <w:marTop w:val="0"/>
                                          <w:marBottom w:val="0"/>
                                          <w:divBdr>
                                            <w:top w:val="none" w:sz="0" w:space="0" w:color="auto"/>
                                            <w:left w:val="none" w:sz="0" w:space="0" w:color="auto"/>
                                            <w:bottom w:val="none" w:sz="0" w:space="0" w:color="auto"/>
                                            <w:right w:val="none" w:sz="0" w:space="0" w:color="auto"/>
                                          </w:divBdr>
                                        </w:div>
                                        <w:div w:id="1993290221">
                                          <w:marLeft w:val="240"/>
                                          <w:marRight w:val="0"/>
                                          <w:marTop w:val="60"/>
                                          <w:marBottom w:val="60"/>
                                          <w:divBdr>
                                            <w:top w:val="none" w:sz="0" w:space="0" w:color="auto"/>
                                            <w:left w:val="none" w:sz="0" w:space="0" w:color="auto"/>
                                            <w:bottom w:val="none" w:sz="0" w:space="0" w:color="auto"/>
                                            <w:right w:val="none" w:sz="0" w:space="0" w:color="auto"/>
                                          </w:divBdr>
                                          <w:divsChild>
                                            <w:div w:id="4110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09111">
                                      <w:marLeft w:val="240"/>
                                      <w:marRight w:val="0"/>
                                      <w:marTop w:val="60"/>
                                      <w:marBottom w:val="60"/>
                                      <w:divBdr>
                                        <w:top w:val="none" w:sz="0" w:space="0" w:color="auto"/>
                                        <w:left w:val="none" w:sz="0" w:space="0" w:color="auto"/>
                                        <w:bottom w:val="none" w:sz="0" w:space="0" w:color="auto"/>
                                        <w:right w:val="none" w:sz="0" w:space="0" w:color="auto"/>
                                      </w:divBdr>
                                      <w:divsChild>
                                        <w:div w:id="410394471">
                                          <w:marLeft w:val="0"/>
                                          <w:marRight w:val="0"/>
                                          <w:marTop w:val="0"/>
                                          <w:marBottom w:val="0"/>
                                          <w:divBdr>
                                            <w:top w:val="none" w:sz="0" w:space="0" w:color="auto"/>
                                            <w:left w:val="none" w:sz="0" w:space="0" w:color="auto"/>
                                            <w:bottom w:val="none" w:sz="0" w:space="0" w:color="auto"/>
                                            <w:right w:val="none" w:sz="0" w:space="0" w:color="auto"/>
                                          </w:divBdr>
                                        </w:div>
                                      </w:divsChild>
                                    </w:div>
                                    <w:div w:id="2126733640">
                                      <w:marLeft w:val="240"/>
                                      <w:marRight w:val="0"/>
                                      <w:marTop w:val="60"/>
                                      <w:marBottom w:val="60"/>
                                      <w:divBdr>
                                        <w:top w:val="none" w:sz="0" w:space="0" w:color="auto"/>
                                        <w:left w:val="none" w:sz="0" w:space="0" w:color="auto"/>
                                        <w:bottom w:val="none" w:sz="0" w:space="0" w:color="auto"/>
                                        <w:right w:val="none" w:sz="0" w:space="0" w:color="auto"/>
                                      </w:divBdr>
                                      <w:divsChild>
                                        <w:div w:id="17923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49945">
                                  <w:marLeft w:val="240"/>
                                  <w:marRight w:val="0"/>
                                  <w:marTop w:val="60"/>
                                  <w:marBottom w:val="60"/>
                                  <w:divBdr>
                                    <w:top w:val="none" w:sz="0" w:space="0" w:color="auto"/>
                                    <w:left w:val="none" w:sz="0" w:space="0" w:color="auto"/>
                                    <w:bottom w:val="none" w:sz="0" w:space="0" w:color="auto"/>
                                    <w:right w:val="none" w:sz="0" w:space="0" w:color="auto"/>
                                  </w:divBdr>
                                  <w:divsChild>
                                    <w:div w:id="464663830">
                                      <w:marLeft w:val="240"/>
                                      <w:marRight w:val="0"/>
                                      <w:marTop w:val="60"/>
                                      <w:marBottom w:val="60"/>
                                      <w:divBdr>
                                        <w:top w:val="none" w:sz="0" w:space="0" w:color="auto"/>
                                        <w:left w:val="none" w:sz="0" w:space="0" w:color="auto"/>
                                        <w:bottom w:val="none" w:sz="0" w:space="0" w:color="auto"/>
                                        <w:right w:val="none" w:sz="0" w:space="0" w:color="auto"/>
                                      </w:divBdr>
                                      <w:divsChild>
                                        <w:div w:id="98108857">
                                          <w:marLeft w:val="240"/>
                                          <w:marRight w:val="0"/>
                                          <w:marTop w:val="60"/>
                                          <w:marBottom w:val="60"/>
                                          <w:divBdr>
                                            <w:top w:val="none" w:sz="0" w:space="0" w:color="auto"/>
                                            <w:left w:val="none" w:sz="0" w:space="0" w:color="auto"/>
                                            <w:bottom w:val="none" w:sz="0" w:space="0" w:color="auto"/>
                                            <w:right w:val="none" w:sz="0" w:space="0" w:color="auto"/>
                                          </w:divBdr>
                                          <w:divsChild>
                                            <w:div w:id="1307197755">
                                              <w:marLeft w:val="0"/>
                                              <w:marRight w:val="0"/>
                                              <w:marTop w:val="0"/>
                                              <w:marBottom w:val="0"/>
                                              <w:divBdr>
                                                <w:top w:val="none" w:sz="0" w:space="0" w:color="auto"/>
                                                <w:left w:val="none" w:sz="0" w:space="0" w:color="auto"/>
                                                <w:bottom w:val="none" w:sz="0" w:space="0" w:color="auto"/>
                                                <w:right w:val="none" w:sz="0" w:space="0" w:color="auto"/>
                                              </w:divBdr>
                                            </w:div>
                                          </w:divsChild>
                                        </w:div>
                                        <w:div w:id="127092368">
                                          <w:marLeft w:val="240"/>
                                          <w:marRight w:val="0"/>
                                          <w:marTop w:val="60"/>
                                          <w:marBottom w:val="60"/>
                                          <w:divBdr>
                                            <w:top w:val="none" w:sz="0" w:space="0" w:color="auto"/>
                                            <w:left w:val="none" w:sz="0" w:space="0" w:color="auto"/>
                                            <w:bottom w:val="none" w:sz="0" w:space="0" w:color="auto"/>
                                            <w:right w:val="none" w:sz="0" w:space="0" w:color="auto"/>
                                          </w:divBdr>
                                          <w:divsChild>
                                            <w:div w:id="113914333">
                                              <w:marLeft w:val="0"/>
                                              <w:marRight w:val="0"/>
                                              <w:marTop w:val="0"/>
                                              <w:marBottom w:val="0"/>
                                              <w:divBdr>
                                                <w:top w:val="none" w:sz="0" w:space="0" w:color="auto"/>
                                                <w:left w:val="none" w:sz="0" w:space="0" w:color="auto"/>
                                                <w:bottom w:val="none" w:sz="0" w:space="0" w:color="auto"/>
                                                <w:right w:val="none" w:sz="0" w:space="0" w:color="auto"/>
                                              </w:divBdr>
                                            </w:div>
                                          </w:divsChild>
                                        </w:div>
                                        <w:div w:id="713119310">
                                          <w:marLeft w:val="1036"/>
                                          <w:marRight w:val="0"/>
                                          <w:marTop w:val="0"/>
                                          <w:marBottom w:val="0"/>
                                          <w:divBdr>
                                            <w:top w:val="none" w:sz="0" w:space="0" w:color="auto"/>
                                            <w:left w:val="none" w:sz="0" w:space="0" w:color="auto"/>
                                            <w:bottom w:val="none" w:sz="0" w:space="0" w:color="auto"/>
                                            <w:right w:val="none" w:sz="0" w:space="0" w:color="auto"/>
                                          </w:divBdr>
                                        </w:div>
                                      </w:divsChild>
                                    </w:div>
                                    <w:div w:id="1109742196">
                                      <w:marLeft w:val="240"/>
                                      <w:marRight w:val="0"/>
                                      <w:marTop w:val="60"/>
                                      <w:marBottom w:val="60"/>
                                      <w:divBdr>
                                        <w:top w:val="none" w:sz="0" w:space="0" w:color="auto"/>
                                        <w:left w:val="none" w:sz="0" w:space="0" w:color="auto"/>
                                        <w:bottom w:val="none" w:sz="0" w:space="0" w:color="auto"/>
                                        <w:right w:val="none" w:sz="0" w:space="0" w:color="auto"/>
                                      </w:divBdr>
                                      <w:divsChild>
                                        <w:div w:id="675888711">
                                          <w:marLeft w:val="0"/>
                                          <w:marRight w:val="0"/>
                                          <w:marTop w:val="0"/>
                                          <w:marBottom w:val="0"/>
                                          <w:divBdr>
                                            <w:top w:val="none" w:sz="0" w:space="0" w:color="auto"/>
                                            <w:left w:val="none" w:sz="0" w:space="0" w:color="auto"/>
                                            <w:bottom w:val="none" w:sz="0" w:space="0" w:color="auto"/>
                                            <w:right w:val="none" w:sz="0" w:space="0" w:color="auto"/>
                                          </w:divBdr>
                                        </w:div>
                                      </w:divsChild>
                                    </w:div>
                                    <w:div w:id="1349018479">
                                      <w:marLeft w:val="240"/>
                                      <w:marRight w:val="0"/>
                                      <w:marTop w:val="60"/>
                                      <w:marBottom w:val="60"/>
                                      <w:divBdr>
                                        <w:top w:val="none" w:sz="0" w:space="0" w:color="auto"/>
                                        <w:left w:val="none" w:sz="0" w:space="0" w:color="auto"/>
                                        <w:bottom w:val="none" w:sz="0" w:space="0" w:color="auto"/>
                                        <w:right w:val="none" w:sz="0" w:space="0" w:color="auto"/>
                                      </w:divBdr>
                                      <w:divsChild>
                                        <w:div w:id="121230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937523">
                                  <w:marLeft w:val="0"/>
                                  <w:marRight w:val="0"/>
                                  <w:marTop w:val="0"/>
                                  <w:marBottom w:val="0"/>
                                  <w:divBdr>
                                    <w:top w:val="none" w:sz="0" w:space="0" w:color="auto"/>
                                    <w:left w:val="none" w:sz="0" w:space="0" w:color="auto"/>
                                    <w:bottom w:val="none" w:sz="0" w:space="0" w:color="auto"/>
                                    <w:right w:val="none" w:sz="0" w:space="0" w:color="auto"/>
                                  </w:divBdr>
                                </w:div>
                                <w:div w:id="1231621166">
                                  <w:marLeft w:val="240"/>
                                  <w:marRight w:val="0"/>
                                  <w:marTop w:val="60"/>
                                  <w:marBottom w:val="60"/>
                                  <w:divBdr>
                                    <w:top w:val="none" w:sz="0" w:space="0" w:color="auto"/>
                                    <w:left w:val="none" w:sz="0" w:space="0" w:color="auto"/>
                                    <w:bottom w:val="none" w:sz="0" w:space="0" w:color="auto"/>
                                    <w:right w:val="none" w:sz="0" w:space="0" w:color="auto"/>
                                  </w:divBdr>
                                  <w:divsChild>
                                    <w:div w:id="535968507">
                                      <w:marLeft w:val="240"/>
                                      <w:marRight w:val="0"/>
                                      <w:marTop w:val="60"/>
                                      <w:marBottom w:val="60"/>
                                      <w:divBdr>
                                        <w:top w:val="none" w:sz="0" w:space="0" w:color="auto"/>
                                        <w:left w:val="none" w:sz="0" w:space="0" w:color="auto"/>
                                        <w:bottom w:val="none" w:sz="0" w:space="0" w:color="auto"/>
                                        <w:right w:val="none" w:sz="0" w:space="0" w:color="auto"/>
                                      </w:divBdr>
                                      <w:divsChild>
                                        <w:div w:id="1019544584">
                                          <w:marLeft w:val="0"/>
                                          <w:marRight w:val="0"/>
                                          <w:marTop w:val="0"/>
                                          <w:marBottom w:val="0"/>
                                          <w:divBdr>
                                            <w:top w:val="none" w:sz="0" w:space="0" w:color="auto"/>
                                            <w:left w:val="none" w:sz="0" w:space="0" w:color="auto"/>
                                            <w:bottom w:val="none" w:sz="0" w:space="0" w:color="auto"/>
                                            <w:right w:val="none" w:sz="0" w:space="0" w:color="auto"/>
                                          </w:divBdr>
                                        </w:div>
                                      </w:divsChild>
                                    </w:div>
                                    <w:div w:id="541408897">
                                      <w:marLeft w:val="240"/>
                                      <w:marRight w:val="0"/>
                                      <w:marTop w:val="60"/>
                                      <w:marBottom w:val="60"/>
                                      <w:divBdr>
                                        <w:top w:val="none" w:sz="0" w:space="0" w:color="auto"/>
                                        <w:left w:val="none" w:sz="0" w:space="0" w:color="auto"/>
                                        <w:bottom w:val="none" w:sz="0" w:space="0" w:color="auto"/>
                                        <w:right w:val="none" w:sz="0" w:space="0" w:color="auto"/>
                                      </w:divBdr>
                                      <w:divsChild>
                                        <w:div w:id="1705517696">
                                          <w:marLeft w:val="0"/>
                                          <w:marRight w:val="0"/>
                                          <w:marTop w:val="0"/>
                                          <w:marBottom w:val="0"/>
                                          <w:divBdr>
                                            <w:top w:val="none" w:sz="0" w:space="0" w:color="auto"/>
                                            <w:left w:val="none" w:sz="0" w:space="0" w:color="auto"/>
                                            <w:bottom w:val="none" w:sz="0" w:space="0" w:color="auto"/>
                                            <w:right w:val="none" w:sz="0" w:space="0" w:color="auto"/>
                                          </w:divBdr>
                                        </w:div>
                                      </w:divsChild>
                                    </w:div>
                                    <w:div w:id="1297566970">
                                      <w:marLeft w:val="240"/>
                                      <w:marRight w:val="0"/>
                                      <w:marTop w:val="60"/>
                                      <w:marBottom w:val="60"/>
                                      <w:divBdr>
                                        <w:top w:val="none" w:sz="0" w:space="0" w:color="auto"/>
                                        <w:left w:val="none" w:sz="0" w:space="0" w:color="auto"/>
                                        <w:bottom w:val="none" w:sz="0" w:space="0" w:color="auto"/>
                                        <w:right w:val="none" w:sz="0" w:space="0" w:color="auto"/>
                                      </w:divBdr>
                                      <w:divsChild>
                                        <w:div w:id="1786388374">
                                          <w:marLeft w:val="0"/>
                                          <w:marRight w:val="0"/>
                                          <w:marTop w:val="0"/>
                                          <w:marBottom w:val="0"/>
                                          <w:divBdr>
                                            <w:top w:val="none" w:sz="0" w:space="0" w:color="auto"/>
                                            <w:left w:val="none" w:sz="0" w:space="0" w:color="auto"/>
                                            <w:bottom w:val="none" w:sz="0" w:space="0" w:color="auto"/>
                                            <w:right w:val="none" w:sz="0" w:space="0" w:color="auto"/>
                                          </w:divBdr>
                                        </w:div>
                                      </w:divsChild>
                                    </w:div>
                                    <w:div w:id="1538007084">
                                      <w:marLeft w:val="240"/>
                                      <w:marRight w:val="0"/>
                                      <w:marTop w:val="60"/>
                                      <w:marBottom w:val="60"/>
                                      <w:divBdr>
                                        <w:top w:val="none" w:sz="0" w:space="0" w:color="auto"/>
                                        <w:left w:val="none" w:sz="0" w:space="0" w:color="auto"/>
                                        <w:bottom w:val="none" w:sz="0" w:space="0" w:color="auto"/>
                                        <w:right w:val="none" w:sz="0" w:space="0" w:color="auto"/>
                                      </w:divBdr>
                                      <w:divsChild>
                                        <w:div w:id="1801921084">
                                          <w:marLeft w:val="0"/>
                                          <w:marRight w:val="0"/>
                                          <w:marTop w:val="0"/>
                                          <w:marBottom w:val="0"/>
                                          <w:divBdr>
                                            <w:top w:val="none" w:sz="0" w:space="0" w:color="auto"/>
                                            <w:left w:val="none" w:sz="0" w:space="0" w:color="auto"/>
                                            <w:bottom w:val="none" w:sz="0" w:space="0" w:color="auto"/>
                                            <w:right w:val="none" w:sz="0" w:space="0" w:color="auto"/>
                                          </w:divBdr>
                                        </w:div>
                                      </w:divsChild>
                                    </w:div>
                                    <w:div w:id="2060083156">
                                      <w:marLeft w:val="240"/>
                                      <w:marRight w:val="0"/>
                                      <w:marTop w:val="60"/>
                                      <w:marBottom w:val="60"/>
                                      <w:divBdr>
                                        <w:top w:val="none" w:sz="0" w:space="0" w:color="auto"/>
                                        <w:left w:val="none" w:sz="0" w:space="0" w:color="auto"/>
                                        <w:bottom w:val="none" w:sz="0" w:space="0" w:color="auto"/>
                                        <w:right w:val="none" w:sz="0" w:space="0" w:color="auto"/>
                                      </w:divBdr>
                                      <w:divsChild>
                                        <w:div w:id="142514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486575">
                                  <w:marLeft w:val="240"/>
                                  <w:marRight w:val="0"/>
                                  <w:marTop w:val="60"/>
                                  <w:marBottom w:val="60"/>
                                  <w:divBdr>
                                    <w:top w:val="none" w:sz="0" w:space="0" w:color="auto"/>
                                    <w:left w:val="none" w:sz="0" w:space="0" w:color="auto"/>
                                    <w:bottom w:val="none" w:sz="0" w:space="0" w:color="auto"/>
                                    <w:right w:val="none" w:sz="0" w:space="0" w:color="auto"/>
                                  </w:divBdr>
                                  <w:divsChild>
                                    <w:div w:id="216938804">
                                      <w:marLeft w:val="240"/>
                                      <w:marRight w:val="0"/>
                                      <w:marTop w:val="60"/>
                                      <w:marBottom w:val="60"/>
                                      <w:divBdr>
                                        <w:top w:val="none" w:sz="0" w:space="0" w:color="auto"/>
                                        <w:left w:val="none" w:sz="0" w:space="0" w:color="auto"/>
                                        <w:bottom w:val="none" w:sz="0" w:space="0" w:color="auto"/>
                                        <w:right w:val="none" w:sz="0" w:space="0" w:color="auto"/>
                                      </w:divBdr>
                                      <w:divsChild>
                                        <w:div w:id="193427395">
                                          <w:marLeft w:val="0"/>
                                          <w:marRight w:val="0"/>
                                          <w:marTop w:val="0"/>
                                          <w:marBottom w:val="0"/>
                                          <w:divBdr>
                                            <w:top w:val="none" w:sz="0" w:space="0" w:color="auto"/>
                                            <w:left w:val="none" w:sz="0" w:space="0" w:color="auto"/>
                                            <w:bottom w:val="none" w:sz="0" w:space="0" w:color="auto"/>
                                            <w:right w:val="none" w:sz="0" w:space="0" w:color="auto"/>
                                          </w:divBdr>
                                        </w:div>
                                      </w:divsChild>
                                    </w:div>
                                    <w:div w:id="330257072">
                                      <w:marLeft w:val="240"/>
                                      <w:marRight w:val="0"/>
                                      <w:marTop w:val="60"/>
                                      <w:marBottom w:val="60"/>
                                      <w:divBdr>
                                        <w:top w:val="none" w:sz="0" w:space="0" w:color="auto"/>
                                        <w:left w:val="none" w:sz="0" w:space="0" w:color="auto"/>
                                        <w:bottom w:val="none" w:sz="0" w:space="0" w:color="auto"/>
                                        <w:right w:val="none" w:sz="0" w:space="0" w:color="auto"/>
                                      </w:divBdr>
                                      <w:divsChild>
                                        <w:div w:id="433087782">
                                          <w:marLeft w:val="0"/>
                                          <w:marRight w:val="0"/>
                                          <w:marTop w:val="0"/>
                                          <w:marBottom w:val="0"/>
                                          <w:divBdr>
                                            <w:top w:val="none" w:sz="0" w:space="0" w:color="auto"/>
                                            <w:left w:val="none" w:sz="0" w:space="0" w:color="auto"/>
                                            <w:bottom w:val="none" w:sz="0" w:space="0" w:color="auto"/>
                                            <w:right w:val="none" w:sz="0" w:space="0" w:color="auto"/>
                                          </w:divBdr>
                                        </w:div>
                                      </w:divsChild>
                                    </w:div>
                                    <w:div w:id="334109585">
                                      <w:marLeft w:val="240"/>
                                      <w:marRight w:val="0"/>
                                      <w:marTop w:val="60"/>
                                      <w:marBottom w:val="60"/>
                                      <w:divBdr>
                                        <w:top w:val="none" w:sz="0" w:space="0" w:color="auto"/>
                                        <w:left w:val="none" w:sz="0" w:space="0" w:color="auto"/>
                                        <w:bottom w:val="none" w:sz="0" w:space="0" w:color="auto"/>
                                        <w:right w:val="none" w:sz="0" w:space="0" w:color="auto"/>
                                      </w:divBdr>
                                      <w:divsChild>
                                        <w:div w:id="392967926">
                                          <w:marLeft w:val="0"/>
                                          <w:marRight w:val="0"/>
                                          <w:marTop w:val="0"/>
                                          <w:marBottom w:val="0"/>
                                          <w:divBdr>
                                            <w:top w:val="none" w:sz="0" w:space="0" w:color="auto"/>
                                            <w:left w:val="none" w:sz="0" w:space="0" w:color="auto"/>
                                            <w:bottom w:val="none" w:sz="0" w:space="0" w:color="auto"/>
                                            <w:right w:val="none" w:sz="0" w:space="0" w:color="auto"/>
                                          </w:divBdr>
                                        </w:div>
                                      </w:divsChild>
                                    </w:div>
                                    <w:div w:id="777650382">
                                      <w:marLeft w:val="240"/>
                                      <w:marRight w:val="0"/>
                                      <w:marTop w:val="60"/>
                                      <w:marBottom w:val="60"/>
                                      <w:divBdr>
                                        <w:top w:val="none" w:sz="0" w:space="0" w:color="auto"/>
                                        <w:left w:val="none" w:sz="0" w:space="0" w:color="auto"/>
                                        <w:bottom w:val="none" w:sz="0" w:space="0" w:color="auto"/>
                                        <w:right w:val="none" w:sz="0" w:space="0" w:color="auto"/>
                                      </w:divBdr>
                                      <w:divsChild>
                                        <w:div w:id="1017734399">
                                          <w:marLeft w:val="0"/>
                                          <w:marRight w:val="0"/>
                                          <w:marTop w:val="0"/>
                                          <w:marBottom w:val="0"/>
                                          <w:divBdr>
                                            <w:top w:val="none" w:sz="0" w:space="0" w:color="auto"/>
                                            <w:left w:val="none" w:sz="0" w:space="0" w:color="auto"/>
                                            <w:bottom w:val="none" w:sz="0" w:space="0" w:color="auto"/>
                                            <w:right w:val="none" w:sz="0" w:space="0" w:color="auto"/>
                                          </w:divBdr>
                                        </w:div>
                                      </w:divsChild>
                                    </w:div>
                                    <w:div w:id="886993887">
                                      <w:marLeft w:val="240"/>
                                      <w:marRight w:val="0"/>
                                      <w:marTop w:val="60"/>
                                      <w:marBottom w:val="60"/>
                                      <w:divBdr>
                                        <w:top w:val="none" w:sz="0" w:space="0" w:color="auto"/>
                                        <w:left w:val="none" w:sz="0" w:space="0" w:color="auto"/>
                                        <w:bottom w:val="none" w:sz="0" w:space="0" w:color="auto"/>
                                        <w:right w:val="none" w:sz="0" w:space="0" w:color="auto"/>
                                      </w:divBdr>
                                      <w:divsChild>
                                        <w:div w:id="1741368107">
                                          <w:marLeft w:val="0"/>
                                          <w:marRight w:val="0"/>
                                          <w:marTop w:val="0"/>
                                          <w:marBottom w:val="0"/>
                                          <w:divBdr>
                                            <w:top w:val="none" w:sz="0" w:space="0" w:color="auto"/>
                                            <w:left w:val="none" w:sz="0" w:space="0" w:color="auto"/>
                                            <w:bottom w:val="none" w:sz="0" w:space="0" w:color="auto"/>
                                            <w:right w:val="none" w:sz="0" w:space="0" w:color="auto"/>
                                          </w:divBdr>
                                        </w:div>
                                      </w:divsChild>
                                    </w:div>
                                    <w:div w:id="1284144408">
                                      <w:marLeft w:val="240"/>
                                      <w:marRight w:val="0"/>
                                      <w:marTop w:val="60"/>
                                      <w:marBottom w:val="60"/>
                                      <w:divBdr>
                                        <w:top w:val="none" w:sz="0" w:space="0" w:color="auto"/>
                                        <w:left w:val="none" w:sz="0" w:space="0" w:color="auto"/>
                                        <w:bottom w:val="none" w:sz="0" w:space="0" w:color="auto"/>
                                        <w:right w:val="none" w:sz="0" w:space="0" w:color="auto"/>
                                      </w:divBdr>
                                      <w:divsChild>
                                        <w:div w:id="1133868819">
                                          <w:marLeft w:val="0"/>
                                          <w:marRight w:val="0"/>
                                          <w:marTop w:val="0"/>
                                          <w:marBottom w:val="0"/>
                                          <w:divBdr>
                                            <w:top w:val="none" w:sz="0" w:space="0" w:color="auto"/>
                                            <w:left w:val="none" w:sz="0" w:space="0" w:color="auto"/>
                                            <w:bottom w:val="none" w:sz="0" w:space="0" w:color="auto"/>
                                            <w:right w:val="none" w:sz="0" w:space="0" w:color="auto"/>
                                          </w:divBdr>
                                        </w:div>
                                      </w:divsChild>
                                    </w:div>
                                    <w:div w:id="1293293758">
                                      <w:marLeft w:val="240"/>
                                      <w:marRight w:val="0"/>
                                      <w:marTop w:val="60"/>
                                      <w:marBottom w:val="60"/>
                                      <w:divBdr>
                                        <w:top w:val="none" w:sz="0" w:space="0" w:color="auto"/>
                                        <w:left w:val="none" w:sz="0" w:space="0" w:color="auto"/>
                                        <w:bottom w:val="none" w:sz="0" w:space="0" w:color="auto"/>
                                        <w:right w:val="none" w:sz="0" w:space="0" w:color="auto"/>
                                      </w:divBdr>
                                      <w:divsChild>
                                        <w:div w:id="52314585">
                                          <w:marLeft w:val="0"/>
                                          <w:marRight w:val="0"/>
                                          <w:marTop w:val="0"/>
                                          <w:marBottom w:val="0"/>
                                          <w:divBdr>
                                            <w:top w:val="none" w:sz="0" w:space="0" w:color="auto"/>
                                            <w:left w:val="none" w:sz="0" w:space="0" w:color="auto"/>
                                            <w:bottom w:val="none" w:sz="0" w:space="0" w:color="auto"/>
                                            <w:right w:val="none" w:sz="0" w:space="0" w:color="auto"/>
                                          </w:divBdr>
                                        </w:div>
                                      </w:divsChild>
                                    </w:div>
                                    <w:div w:id="1302424042">
                                      <w:marLeft w:val="240"/>
                                      <w:marRight w:val="0"/>
                                      <w:marTop w:val="60"/>
                                      <w:marBottom w:val="60"/>
                                      <w:divBdr>
                                        <w:top w:val="none" w:sz="0" w:space="0" w:color="auto"/>
                                        <w:left w:val="none" w:sz="0" w:space="0" w:color="auto"/>
                                        <w:bottom w:val="none" w:sz="0" w:space="0" w:color="auto"/>
                                        <w:right w:val="none" w:sz="0" w:space="0" w:color="auto"/>
                                      </w:divBdr>
                                      <w:divsChild>
                                        <w:div w:id="610863343">
                                          <w:marLeft w:val="0"/>
                                          <w:marRight w:val="0"/>
                                          <w:marTop w:val="0"/>
                                          <w:marBottom w:val="0"/>
                                          <w:divBdr>
                                            <w:top w:val="none" w:sz="0" w:space="0" w:color="auto"/>
                                            <w:left w:val="none" w:sz="0" w:space="0" w:color="auto"/>
                                            <w:bottom w:val="none" w:sz="0" w:space="0" w:color="auto"/>
                                            <w:right w:val="none" w:sz="0" w:space="0" w:color="auto"/>
                                          </w:divBdr>
                                        </w:div>
                                      </w:divsChild>
                                    </w:div>
                                    <w:div w:id="1674455033">
                                      <w:marLeft w:val="240"/>
                                      <w:marRight w:val="0"/>
                                      <w:marTop w:val="60"/>
                                      <w:marBottom w:val="60"/>
                                      <w:divBdr>
                                        <w:top w:val="none" w:sz="0" w:space="0" w:color="auto"/>
                                        <w:left w:val="none" w:sz="0" w:space="0" w:color="auto"/>
                                        <w:bottom w:val="none" w:sz="0" w:space="0" w:color="auto"/>
                                        <w:right w:val="none" w:sz="0" w:space="0" w:color="auto"/>
                                      </w:divBdr>
                                      <w:divsChild>
                                        <w:div w:id="41103738">
                                          <w:marLeft w:val="240"/>
                                          <w:marRight w:val="0"/>
                                          <w:marTop w:val="60"/>
                                          <w:marBottom w:val="60"/>
                                          <w:divBdr>
                                            <w:top w:val="none" w:sz="0" w:space="0" w:color="auto"/>
                                            <w:left w:val="none" w:sz="0" w:space="0" w:color="auto"/>
                                            <w:bottom w:val="none" w:sz="0" w:space="0" w:color="auto"/>
                                            <w:right w:val="none" w:sz="0" w:space="0" w:color="auto"/>
                                          </w:divBdr>
                                          <w:divsChild>
                                            <w:div w:id="1760516823">
                                              <w:marLeft w:val="0"/>
                                              <w:marRight w:val="0"/>
                                              <w:marTop w:val="0"/>
                                              <w:marBottom w:val="0"/>
                                              <w:divBdr>
                                                <w:top w:val="none" w:sz="0" w:space="0" w:color="auto"/>
                                                <w:left w:val="none" w:sz="0" w:space="0" w:color="auto"/>
                                                <w:bottom w:val="none" w:sz="0" w:space="0" w:color="auto"/>
                                                <w:right w:val="none" w:sz="0" w:space="0" w:color="auto"/>
                                              </w:divBdr>
                                            </w:div>
                                          </w:divsChild>
                                        </w:div>
                                        <w:div w:id="759521913">
                                          <w:marLeft w:val="240"/>
                                          <w:marRight w:val="0"/>
                                          <w:marTop w:val="60"/>
                                          <w:marBottom w:val="60"/>
                                          <w:divBdr>
                                            <w:top w:val="none" w:sz="0" w:space="0" w:color="auto"/>
                                            <w:left w:val="none" w:sz="0" w:space="0" w:color="auto"/>
                                            <w:bottom w:val="none" w:sz="0" w:space="0" w:color="auto"/>
                                            <w:right w:val="none" w:sz="0" w:space="0" w:color="auto"/>
                                          </w:divBdr>
                                          <w:divsChild>
                                            <w:div w:id="89758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70782">
                                      <w:marLeft w:val="240"/>
                                      <w:marRight w:val="0"/>
                                      <w:marTop w:val="60"/>
                                      <w:marBottom w:val="60"/>
                                      <w:divBdr>
                                        <w:top w:val="none" w:sz="0" w:space="0" w:color="auto"/>
                                        <w:left w:val="none" w:sz="0" w:space="0" w:color="auto"/>
                                        <w:bottom w:val="none" w:sz="0" w:space="0" w:color="auto"/>
                                        <w:right w:val="none" w:sz="0" w:space="0" w:color="auto"/>
                                      </w:divBdr>
                                      <w:divsChild>
                                        <w:div w:id="1536848656">
                                          <w:marLeft w:val="0"/>
                                          <w:marRight w:val="0"/>
                                          <w:marTop w:val="0"/>
                                          <w:marBottom w:val="0"/>
                                          <w:divBdr>
                                            <w:top w:val="none" w:sz="0" w:space="0" w:color="auto"/>
                                            <w:left w:val="none" w:sz="0" w:space="0" w:color="auto"/>
                                            <w:bottom w:val="none" w:sz="0" w:space="0" w:color="auto"/>
                                            <w:right w:val="none" w:sz="0" w:space="0" w:color="auto"/>
                                          </w:divBdr>
                                        </w:div>
                                      </w:divsChild>
                                    </w:div>
                                    <w:div w:id="1837914764">
                                      <w:marLeft w:val="240"/>
                                      <w:marRight w:val="0"/>
                                      <w:marTop w:val="60"/>
                                      <w:marBottom w:val="60"/>
                                      <w:divBdr>
                                        <w:top w:val="none" w:sz="0" w:space="0" w:color="auto"/>
                                        <w:left w:val="none" w:sz="0" w:space="0" w:color="auto"/>
                                        <w:bottom w:val="none" w:sz="0" w:space="0" w:color="auto"/>
                                        <w:right w:val="none" w:sz="0" w:space="0" w:color="auto"/>
                                      </w:divBdr>
                                      <w:divsChild>
                                        <w:div w:id="868031369">
                                          <w:marLeft w:val="0"/>
                                          <w:marRight w:val="0"/>
                                          <w:marTop w:val="0"/>
                                          <w:marBottom w:val="0"/>
                                          <w:divBdr>
                                            <w:top w:val="none" w:sz="0" w:space="0" w:color="auto"/>
                                            <w:left w:val="none" w:sz="0" w:space="0" w:color="auto"/>
                                            <w:bottom w:val="none" w:sz="0" w:space="0" w:color="auto"/>
                                            <w:right w:val="none" w:sz="0" w:space="0" w:color="auto"/>
                                          </w:divBdr>
                                        </w:div>
                                      </w:divsChild>
                                    </w:div>
                                    <w:div w:id="1839729822">
                                      <w:marLeft w:val="240"/>
                                      <w:marRight w:val="0"/>
                                      <w:marTop w:val="60"/>
                                      <w:marBottom w:val="60"/>
                                      <w:divBdr>
                                        <w:top w:val="none" w:sz="0" w:space="0" w:color="auto"/>
                                        <w:left w:val="none" w:sz="0" w:space="0" w:color="auto"/>
                                        <w:bottom w:val="none" w:sz="0" w:space="0" w:color="auto"/>
                                        <w:right w:val="none" w:sz="0" w:space="0" w:color="auto"/>
                                      </w:divBdr>
                                      <w:divsChild>
                                        <w:div w:id="1306396478">
                                          <w:marLeft w:val="0"/>
                                          <w:marRight w:val="0"/>
                                          <w:marTop w:val="0"/>
                                          <w:marBottom w:val="0"/>
                                          <w:divBdr>
                                            <w:top w:val="none" w:sz="0" w:space="0" w:color="auto"/>
                                            <w:left w:val="none" w:sz="0" w:space="0" w:color="auto"/>
                                            <w:bottom w:val="none" w:sz="0" w:space="0" w:color="auto"/>
                                            <w:right w:val="none" w:sz="0" w:space="0" w:color="auto"/>
                                          </w:divBdr>
                                        </w:div>
                                      </w:divsChild>
                                    </w:div>
                                    <w:div w:id="1878659969">
                                      <w:marLeft w:val="240"/>
                                      <w:marRight w:val="0"/>
                                      <w:marTop w:val="60"/>
                                      <w:marBottom w:val="60"/>
                                      <w:divBdr>
                                        <w:top w:val="none" w:sz="0" w:space="0" w:color="auto"/>
                                        <w:left w:val="none" w:sz="0" w:space="0" w:color="auto"/>
                                        <w:bottom w:val="none" w:sz="0" w:space="0" w:color="auto"/>
                                        <w:right w:val="none" w:sz="0" w:space="0" w:color="auto"/>
                                      </w:divBdr>
                                      <w:divsChild>
                                        <w:div w:id="182539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410570">
                                  <w:marLeft w:val="240"/>
                                  <w:marRight w:val="0"/>
                                  <w:marTop w:val="60"/>
                                  <w:marBottom w:val="60"/>
                                  <w:divBdr>
                                    <w:top w:val="none" w:sz="0" w:space="0" w:color="auto"/>
                                    <w:left w:val="none" w:sz="0" w:space="0" w:color="auto"/>
                                    <w:bottom w:val="none" w:sz="0" w:space="0" w:color="auto"/>
                                    <w:right w:val="none" w:sz="0" w:space="0" w:color="auto"/>
                                  </w:divBdr>
                                  <w:divsChild>
                                    <w:div w:id="399258279">
                                      <w:marLeft w:val="240"/>
                                      <w:marRight w:val="0"/>
                                      <w:marTop w:val="60"/>
                                      <w:marBottom w:val="60"/>
                                      <w:divBdr>
                                        <w:top w:val="none" w:sz="0" w:space="0" w:color="auto"/>
                                        <w:left w:val="none" w:sz="0" w:space="0" w:color="auto"/>
                                        <w:bottom w:val="none" w:sz="0" w:space="0" w:color="auto"/>
                                        <w:right w:val="none" w:sz="0" w:space="0" w:color="auto"/>
                                      </w:divBdr>
                                      <w:divsChild>
                                        <w:div w:id="1950818080">
                                          <w:marLeft w:val="0"/>
                                          <w:marRight w:val="0"/>
                                          <w:marTop w:val="0"/>
                                          <w:marBottom w:val="0"/>
                                          <w:divBdr>
                                            <w:top w:val="none" w:sz="0" w:space="0" w:color="auto"/>
                                            <w:left w:val="none" w:sz="0" w:space="0" w:color="auto"/>
                                            <w:bottom w:val="none" w:sz="0" w:space="0" w:color="auto"/>
                                            <w:right w:val="none" w:sz="0" w:space="0" w:color="auto"/>
                                          </w:divBdr>
                                        </w:div>
                                      </w:divsChild>
                                    </w:div>
                                    <w:div w:id="433090480">
                                      <w:marLeft w:val="240"/>
                                      <w:marRight w:val="0"/>
                                      <w:marTop w:val="60"/>
                                      <w:marBottom w:val="60"/>
                                      <w:divBdr>
                                        <w:top w:val="none" w:sz="0" w:space="0" w:color="auto"/>
                                        <w:left w:val="none" w:sz="0" w:space="0" w:color="auto"/>
                                        <w:bottom w:val="none" w:sz="0" w:space="0" w:color="auto"/>
                                        <w:right w:val="none" w:sz="0" w:space="0" w:color="auto"/>
                                      </w:divBdr>
                                      <w:divsChild>
                                        <w:div w:id="770514133">
                                          <w:marLeft w:val="240"/>
                                          <w:marRight w:val="0"/>
                                          <w:marTop w:val="60"/>
                                          <w:marBottom w:val="60"/>
                                          <w:divBdr>
                                            <w:top w:val="none" w:sz="0" w:space="0" w:color="auto"/>
                                            <w:left w:val="none" w:sz="0" w:space="0" w:color="auto"/>
                                            <w:bottom w:val="none" w:sz="0" w:space="0" w:color="auto"/>
                                            <w:right w:val="none" w:sz="0" w:space="0" w:color="auto"/>
                                          </w:divBdr>
                                          <w:divsChild>
                                            <w:div w:id="50472184">
                                              <w:marLeft w:val="240"/>
                                              <w:marRight w:val="0"/>
                                              <w:marTop w:val="60"/>
                                              <w:marBottom w:val="60"/>
                                              <w:divBdr>
                                                <w:top w:val="none" w:sz="0" w:space="0" w:color="auto"/>
                                                <w:left w:val="none" w:sz="0" w:space="0" w:color="auto"/>
                                                <w:bottom w:val="none" w:sz="0" w:space="0" w:color="auto"/>
                                                <w:right w:val="none" w:sz="0" w:space="0" w:color="auto"/>
                                              </w:divBdr>
                                              <w:divsChild>
                                                <w:div w:id="1390879680">
                                                  <w:marLeft w:val="0"/>
                                                  <w:marRight w:val="0"/>
                                                  <w:marTop w:val="0"/>
                                                  <w:marBottom w:val="0"/>
                                                  <w:divBdr>
                                                    <w:top w:val="none" w:sz="0" w:space="0" w:color="auto"/>
                                                    <w:left w:val="none" w:sz="0" w:space="0" w:color="auto"/>
                                                    <w:bottom w:val="none" w:sz="0" w:space="0" w:color="auto"/>
                                                    <w:right w:val="none" w:sz="0" w:space="0" w:color="auto"/>
                                                  </w:divBdr>
                                                </w:div>
                                              </w:divsChild>
                                            </w:div>
                                            <w:div w:id="919414241">
                                              <w:marLeft w:val="240"/>
                                              <w:marRight w:val="0"/>
                                              <w:marTop w:val="60"/>
                                              <w:marBottom w:val="60"/>
                                              <w:divBdr>
                                                <w:top w:val="none" w:sz="0" w:space="0" w:color="auto"/>
                                                <w:left w:val="none" w:sz="0" w:space="0" w:color="auto"/>
                                                <w:bottom w:val="none" w:sz="0" w:space="0" w:color="auto"/>
                                                <w:right w:val="none" w:sz="0" w:space="0" w:color="auto"/>
                                              </w:divBdr>
                                              <w:divsChild>
                                                <w:div w:id="14908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597508">
                                          <w:marLeft w:val="240"/>
                                          <w:marRight w:val="0"/>
                                          <w:marTop w:val="60"/>
                                          <w:marBottom w:val="60"/>
                                          <w:divBdr>
                                            <w:top w:val="none" w:sz="0" w:space="0" w:color="auto"/>
                                            <w:left w:val="none" w:sz="0" w:space="0" w:color="auto"/>
                                            <w:bottom w:val="none" w:sz="0" w:space="0" w:color="auto"/>
                                            <w:right w:val="none" w:sz="0" w:space="0" w:color="auto"/>
                                          </w:divBdr>
                                          <w:divsChild>
                                            <w:div w:id="162118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451741">
                                      <w:marLeft w:val="240"/>
                                      <w:marRight w:val="0"/>
                                      <w:marTop w:val="60"/>
                                      <w:marBottom w:val="60"/>
                                      <w:divBdr>
                                        <w:top w:val="none" w:sz="0" w:space="0" w:color="auto"/>
                                        <w:left w:val="none" w:sz="0" w:space="0" w:color="auto"/>
                                        <w:bottom w:val="none" w:sz="0" w:space="0" w:color="auto"/>
                                        <w:right w:val="none" w:sz="0" w:space="0" w:color="auto"/>
                                      </w:divBdr>
                                      <w:divsChild>
                                        <w:div w:id="1244536069">
                                          <w:marLeft w:val="1036"/>
                                          <w:marRight w:val="0"/>
                                          <w:marTop w:val="0"/>
                                          <w:marBottom w:val="0"/>
                                          <w:divBdr>
                                            <w:top w:val="none" w:sz="0" w:space="0" w:color="auto"/>
                                            <w:left w:val="none" w:sz="0" w:space="0" w:color="auto"/>
                                            <w:bottom w:val="none" w:sz="0" w:space="0" w:color="auto"/>
                                            <w:right w:val="none" w:sz="0" w:space="0" w:color="auto"/>
                                          </w:divBdr>
                                        </w:div>
                                        <w:div w:id="1272666626">
                                          <w:marLeft w:val="240"/>
                                          <w:marRight w:val="0"/>
                                          <w:marTop w:val="60"/>
                                          <w:marBottom w:val="60"/>
                                          <w:divBdr>
                                            <w:top w:val="none" w:sz="0" w:space="0" w:color="auto"/>
                                            <w:left w:val="none" w:sz="0" w:space="0" w:color="auto"/>
                                            <w:bottom w:val="none" w:sz="0" w:space="0" w:color="auto"/>
                                            <w:right w:val="none" w:sz="0" w:space="0" w:color="auto"/>
                                          </w:divBdr>
                                          <w:divsChild>
                                            <w:div w:id="1483735956">
                                              <w:marLeft w:val="0"/>
                                              <w:marRight w:val="0"/>
                                              <w:marTop w:val="0"/>
                                              <w:marBottom w:val="0"/>
                                              <w:divBdr>
                                                <w:top w:val="none" w:sz="0" w:space="0" w:color="auto"/>
                                                <w:left w:val="none" w:sz="0" w:space="0" w:color="auto"/>
                                                <w:bottom w:val="none" w:sz="0" w:space="0" w:color="auto"/>
                                                <w:right w:val="none" w:sz="0" w:space="0" w:color="auto"/>
                                              </w:divBdr>
                                            </w:div>
                                          </w:divsChild>
                                        </w:div>
                                        <w:div w:id="1651444585">
                                          <w:marLeft w:val="240"/>
                                          <w:marRight w:val="0"/>
                                          <w:marTop w:val="60"/>
                                          <w:marBottom w:val="60"/>
                                          <w:divBdr>
                                            <w:top w:val="none" w:sz="0" w:space="0" w:color="auto"/>
                                            <w:left w:val="none" w:sz="0" w:space="0" w:color="auto"/>
                                            <w:bottom w:val="none" w:sz="0" w:space="0" w:color="auto"/>
                                            <w:right w:val="none" w:sz="0" w:space="0" w:color="auto"/>
                                          </w:divBdr>
                                          <w:divsChild>
                                            <w:div w:id="82590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271389">
                                  <w:marLeft w:val="240"/>
                                  <w:marRight w:val="0"/>
                                  <w:marTop w:val="60"/>
                                  <w:marBottom w:val="60"/>
                                  <w:divBdr>
                                    <w:top w:val="none" w:sz="0" w:space="0" w:color="auto"/>
                                    <w:left w:val="none" w:sz="0" w:space="0" w:color="auto"/>
                                    <w:bottom w:val="none" w:sz="0" w:space="0" w:color="auto"/>
                                    <w:right w:val="none" w:sz="0" w:space="0" w:color="auto"/>
                                  </w:divBdr>
                                  <w:divsChild>
                                    <w:div w:id="203773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law.cornell.edu/definitions/uscode.php?width=840&amp;height=800&amp;iframe=true&amp;def_id=26-USC-921375920-1425988958&amp;term_occur=999&amp;term_src=title:26:subtitle:A:chapter:1:subchapter:B:part:IX:section:267" TargetMode="External"/><Relationship Id="rId18" Type="http://schemas.openxmlformats.org/officeDocument/2006/relationships/hyperlink" Target="https://www.law.cornell.edu/definitions/uscode.php?width=840&amp;height=800&amp;iframe=true&amp;def_id=26-USC-570402602-1427839841&amp;term_occur=999&amp;term_src=" TargetMode="External"/><Relationship Id="rId26" Type="http://schemas.openxmlformats.org/officeDocument/2006/relationships/hyperlink" Target="https://www.law.cornell.edu/uscode/text/26/707" TargetMode="External"/><Relationship Id="rId39" Type="http://schemas.openxmlformats.org/officeDocument/2006/relationships/hyperlink" Target="https://www.law.cornell.edu/definitions/uscode.php?width=840&amp;height=800&amp;iframe=true&amp;def_id=26-USC-1085441972-1425988955&amp;term_occur=999&amp;term_src=title:26:subtitle:A:chapter:1:subchapter:B:part:IX:section:267" TargetMode="External"/><Relationship Id="rId21" Type="http://schemas.openxmlformats.org/officeDocument/2006/relationships/hyperlink" Target="https://www.law.cornell.edu/definitions/uscode.php?width=840&amp;height=800&amp;iframe=true&amp;def_id=26-USC-570402602-1427839841&amp;term_occur=999&amp;term_src=" TargetMode="External"/><Relationship Id="rId34" Type="http://schemas.openxmlformats.org/officeDocument/2006/relationships/hyperlink" Target="https://www.law.cornell.edu/definitions/uscode.php?width=840&amp;height=800&amp;iframe=true&amp;def_id=26-USC-570402602-1427839841&amp;term_occur=999&amp;term_src=title:26:subtitle:A:chapter:1:subchapter:B:part:IX:section:267" TargetMode="External"/><Relationship Id="rId42" Type="http://schemas.openxmlformats.org/officeDocument/2006/relationships/hyperlink" Target="https://www.law.cornell.edu/definitions/uscode.php?width=840&amp;height=800&amp;iframe=true&amp;def_id=26-USC-570402602-1427839841&amp;term_occur=999&amp;term_src=" TargetMode="External"/><Relationship Id="rId47" Type="http://schemas.openxmlformats.org/officeDocument/2006/relationships/hyperlink" Target="https://www.law.cornell.edu/definitions/uscode.php?width=840&amp;height=800&amp;iframe=true&amp;def_id=26-USC-570402602-1427839841&amp;term_occur=999&amp;term_src=" TargetMode="External"/><Relationship Id="rId50" Type="http://schemas.openxmlformats.org/officeDocument/2006/relationships/hyperlink" Target="https://www.law.cornell.edu/definitions/uscode.php?width=840&amp;height=800&amp;iframe=true&amp;def_id=26-USC-862385299-1425987998&amp;term_occur=999&amp;term_src=title:26:subtitle:A:chapter:1:subchapter:B:part:IX:section:267" TargetMode="External"/><Relationship Id="rId55" Type="http://schemas.openxmlformats.org/officeDocument/2006/relationships/hyperlink" Target="https://www.law.cornell.edu/rio/citation/Pub._L._95-628" TargetMode="External"/><Relationship Id="rId63" Type="http://schemas.openxmlformats.org/officeDocument/2006/relationships/hyperlink" Target="https://www.law.cornell.edu/rio/citation/Pub._L._100-647" TargetMode="External"/><Relationship Id="rId68" Type="http://schemas.openxmlformats.org/officeDocument/2006/relationships/hyperlink" Target="https://www.law.cornell.edu/rio/citation/113_Stat._1930" TargetMode="External"/><Relationship Id="rId76" Type="http://schemas.openxmlformats.org/officeDocument/2006/relationships/hyperlink" Target="https://www.law.cornell.edu/rio/citation/129_Stat._3115" TargetMode="External"/><Relationship Id="rId7" Type="http://schemas.openxmlformats.org/officeDocument/2006/relationships/hyperlink" Target="https://www.law.cornell.edu/uscode/text/26/957" TargetMode="External"/><Relationship Id="rId71" Type="http://schemas.openxmlformats.org/officeDocument/2006/relationships/hyperlink" Target="https://www.law.cornell.edu/rio/citation/Pub._L._111-325" TargetMode="External"/><Relationship Id="rId2" Type="http://schemas.openxmlformats.org/officeDocument/2006/relationships/styles" Target="styles.xml"/><Relationship Id="rId16" Type="http://schemas.openxmlformats.org/officeDocument/2006/relationships/hyperlink" Target="https://www.law.cornell.edu/definitions/uscode.php?width=840&amp;height=800&amp;iframe=true&amp;def_id=26-USC-570402602-1427839841&amp;term_occur=999&amp;term_src=" TargetMode="External"/><Relationship Id="rId29" Type="http://schemas.openxmlformats.org/officeDocument/2006/relationships/hyperlink" Target="https://www.law.cornell.edu/definitions/uscode.php?width=840&amp;height=800&amp;iframe=true&amp;def_id=26-USC-490711655-1425988955&amp;term_occur=999&amp;term_src=title:26:subtitle:A:chapter:1:subchapter:B:part:IX:section:267" TargetMode="External"/><Relationship Id="rId11" Type="http://schemas.openxmlformats.org/officeDocument/2006/relationships/hyperlink" Target="https://www.law.cornell.edu/uscode/text/26/1" TargetMode="External"/><Relationship Id="rId24" Type="http://schemas.openxmlformats.org/officeDocument/2006/relationships/hyperlink" Target="https://www.law.cornell.edu/definitions/uscode.php?width=840&amp;height=800&amp;iframe=true&amp;def_id=26-USC-570402602-1427839841&amp;term_occur=999&amp;term_src=" TargetMode="External"/><Relationship Id="rId32" Type="http://schemas.openxmlformats.org/officeDocument/2006/relationships/hyperlink" Target="https://www.law.cornell.edu/definitions/uscode.php?width=840&amp;height=800&amp;iframe=true&amp;def_id=26-USC-490711655-1425988955&amp;term_occur=999&amp;term_src=title:26:subtitle:A:chapter:1:subchapter:B:part:IX:section:267" TargetMode="External"/><Relationship Id="rId37" Type="http://schemas.openxmlformats.org/officeDocument/2006/relationships/hyperlink" Target="https://www.law.cornell.edu/definitions/uscode.php?width=840&amp;height=800&amp;iframe=true&amp;def_id=26-USC-570402602-1427839841&amp;term_occur=999&amp;term_src=" TargetMode="External"/><Relationship Id="rId40" Type="http://schemas.openxmlformats.org/officeDocument/2006/relationships/hyperlink" Target="https://www.law.cornell.edu/definitions/uscode.php?width=840&amp;height=800&amp;iframe=true&amp;def_id=26-USC-570402602-1427839841&amp;term_occur=999&amp;term_src=" TargetMode="External"/><Relationship Id="rId45" Type="http://schemas.openxmlformats.org/officeDocument/2006/relationships/hyperlink" Target="https://www.law.cornell.edu/definitions/uscode.php?width=840&amp;height=800&amp;iframe=true&amp;def_id=26-USC-155805697-1425988955&amp;term_occur=999&amp;term_src=title:26:subtitle:A:chapter:1:subchapter:B:part:IX:section:267" TargetMode="External"/><Relationship Id="rId53" Type="http://schemas.openxmlformats.org/officeDocument/2006/relationships/hyperlink" Target="https://www.law.cornell.edu/definitions/uscode.php?width=840&amp;height=800&amp;iframe=true&amp;def_id=26-USC-862385299-1425987998&amp;term_occur=999&amp;term_src=title:26:subtitle:A:chapter:1:subchapter:B:part:IX:section:267" TargetMode="External"/><Relationship Id="rId58" Type="http://schemas.openxmlformats.org/officeDocument/2006/relationships/hyperlink" Target="https://www.law.cornell.edu/rio/citation/96_Stat._1689" TargetMode="External"/><Relationship Id="rId66" Type="http://schemas.openxmlformats.org/officeDocument/2006/relationships/hyperlink" Target="https://www.law.cornell.edu/rio/citation/111_Stat._1041" TargetMode="External"/><Relationship Id="rId74" Type="http://schemas.openxmlformats.org/officeDocument/2006/relationships/hyperlink" Target="https://www.law.cornell.edu/rio/citation/128_Stat._4044" TargetMode="External"/><Relationship Id="rId5" Type="http://schemas.openxmlformats.org/officeDocument/2006/relationships/hyperlink" Target="https://www.law.cornell.edu/uscode/text/26/441" TargetMode="External"/><Relationship Id="rId15" Type="http://schemas.openxmlformats.org/officeDocument/2006/relationships/hyperlink" Target="https://www.law.cornell.edu/definitions/uscode.php?width=840&amp;height=800&amp;iframe=true&amp;def_id=26-USC-570402602-1427839841&amp;term_occur=999&amp;term_src=" TargetMode="External"/><Relationship Id="rId23" Type="http://schemas.openxmlformats.org/officeDocument/2006/relationships/hyperlink" Target="https://www.law.cornell.edu/definitions/uscode.php?width=840&amp;height=800&amp;iframe=true&amp;def_id=26-USC-570402602-1427839841&amp;term_occur=999&amp;term_src=" TargetMode="External"/><Relationship Id="rId28" Type="http://schemas.openxmlformats.org/officeDocument/2006/relationships/hyperlink" Target="https://www.law.cornell.edu/definitions/uscode.php?width=840&amp;height=800&amp;iframe=true&amp;def_id=26-USC-155805697-1425988955&amp;term_occur=999&amp;term_src=" TargetMode="External"/><Relationship Id="rId36" Type="http://schemas.openxmlformats.org/officeDocument/2006/relationships/hyperlink" Target="https://www.law.cornell.edu/definitions/uscode.php?width=840&amp;height=800&amp;iframe=true&amp;def_id=26-USC-155805697-1425988955&amp;term_occur=999&amp;term_src=title:26:subtitle:A:chapter:1:subchapter:B:part:IX:section:267" TargetMode="External"/><Relationship Id="rId49" Type="http://schemas.openxmlformats.org/officeDocument/2006/relationships/hyperlink" Target="https://www.law.cornell.edu/definitions/uscode.php?width=840&amp;height=800&amp;iframe=true&amp;def_id=26-USC-862385299-1425987998&amp;term_occur=999&amp;term_src=title:26:subtitle:A:chapter:1:subchapter:B:part:IX:section:267" TargetMode="External"/><Relationship Id="rId57" Type="http://schemas.openxmlformats.org/officeDocument/2006/relationships/hyperlink" Target="https://www.law.cornell.edu/rio/citation/Pub._L._97-354" TargetMode="External"/><Relationship Id="rId61" Type="http://schemas.openxmlformats.org/officeDocument/2006/relationships/hyperlink" Target="https://www.law.cornell.edu/rio/citation/Pub._L._99-514" TargetMode="External"/><Relationship Id="rId10" Type="http://schemas.openxmlformats.org/officeDocument/2006/relationships/hyperlink" Target="https://www.law.cornell.edu/definitions/uscode.php?width=840&amp;height=800&amp;iframe=true&amp;def_id=26-USC-570402602-1427839841&amp;term_occur=999&amp;term_src=" TargetMode="External"/><Relationship Id="rId19" Type="http://schemas.openxmlformats.org/officeDocument/2006/relationships/hyperlink" Target="https://www.law.cornell.edu/definitions/uscode.php?width=840&amp;height=800&amp;iframe=true&amp;def_id=26-USC-570402602-1427839841&amp;term_occur=999&amp;term_src=" TargetMode="External"/><Relationship Id="rId31" Type="http://schemas.openxmlformats.org/officeDocument/2006/relationships/hyperlink" Target="https://www.law.cornell.edu/definitions/uscode.php?width=840&amp;height=800&amp;iframe=true&amp;def_id=26-USC-490711655-1425988955&amp;term_occur=999&amp;term_src=title:26:subtitle:A:chapter:1:subchapter:B:part:IX:section:267" TargetMode="External"/><Relationship Id="rId44" Type="http://schemas.openxmlformats.org/officeDocument/2006/relationships/hyperlink" Target="https://www.law.cornell.edu/definitions/uscode.php?width=840&amp;height=800&amp;iframe=true&amp;def_id=26-USC-570402602-1427839841&amp;term_occur=999&amp;term_src=" TargetMode="External"/><Relationship Id="rId52" Type="http://schemas.openxmlformats.org/officeDocument/2006/relationships/hyperlink" Target="https://www.law.cornell.edu/definitions/uscode.php?width=840&amp;height=800&amp;iframe=true&amp;def_id=26-USC-862385299-1425987998&amp;term_occur=999&amp;term_src=title:26:subtitle:A:chapter:1:subchapter:B:part:IX:section:267" TargetMode="External"/><Relationship Id="rId60" Type="http://schemas.openxmlformats.org/officeDocument/2006/relationships/hyperlink" Target="https://www.law.cornell.edu/rio/citation/98_Stat._704-707" TargetMode="External"/><Relationship Id="rId65" Type="http://schemas.openxmlformats.org/officeDocument/2006/relationships/hyperlink" Target="https://www.law.cornell.edu/rio/citation/Pub._L._105-34" TargetMode="External"/><Relationship Id="rId73" Type="http://schemas.openxmlformats.org/officeDocument/2006/relationships/hyperlink" Target="https://www.law.cornell.edu/rio/citation/Pub._L._113-295"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aw.cornell.edu/definitions/uscode.php?width=840&amp;height=800&amp;iframe=true&amp;def_id=26-USC-570402602-1427839841&amp;term_occur=999&amp;term_src=" TargetMode="External"/><Relationship Id="rId14" Type="http://schemas.openxmlformats.org/officeDocument/2006/relationships/hyperlink" Target="https://www.law.cornell.edu/definitions/uscode.php?width=840&amp;height=800&amp;iframe=true&amp;def_id=26-USC-570402602-1427839841&amp;term_occur=999&amp;term_src=" TargetMode="External"/><Relationship Id="rId22" Type="http://schemas.openxmlformats.org/officeDocument/2006/relationships/hyperlink" Target="https://www.law.cornell.edu/definitions/uscode.php?width=840&amp;height=800&amp;iframe=true&amp;def_id=26-USC-921375920-1425988958&amp;term_occur=999&amp;term_src=title:26:subtitle:A:chapter:1:subchapter:B:part:IX:section:267" TargetMode="External"/><Relationship Id="rId27" Type="http://schemas.openxmlformats.org/officeDocument/2006/relationships/hyperlink" Target="https://www.law.cornell.edu/definitions/uscode.php?width=840&amp;height=800&amp;iframe=true&amp;def_id=26-USC-1085441972-1425988955&amp;term_occur=999&amp;term_src=title:26:subtitle:A:chapter:1:subchapter:B:part:IX:section:267" TargetMode="External"/><Relationship Id="rId30" Type="http://schemas.openxmlformats.org/officeDocument/2006/relationships/hyperlink" Target="https://www.law.cornell.edu/uscode/text/26/707" TargetMode="External"/><Relationship Id="rId35" Type="http://schemas.openxmlformats.org/officeDocument/2006/relationships/hyperlink" Target="https://www.law.cornell.edu/definitions/uscode.php?width=840&amp;height=800&amp;iframe=true&amp;def_id=26-USC-155805697-1425988955&amp;term_occur=999&amp;term_src=title:26:subtitle:A:chapter:1:subchapter:B:part:IX:section:267" TargetMode="External"/><Relationship Id="rId43" Type="http://schemas.openxmlformats.org/officeDocument/2006/relationships/hyperlink" Target="https://www.law.cornell.edu/definitions/uscode.php?width=840&amp;height=800&amp;iframe=true&amp;def_id=26-USC-570402602-1427839841&amp;term_occur=999&amp;term_src=" TargetMode="External"/><Relationship Id="rId48" Type="http://schemas.openxmlformats.org/officeDocument/2006/relationships/hyperlink" Target="https://www.law.cornell.edu/definitions/uscode.php?width=840&amp;height=800&amp;iframe=true&amp;def_id=26-USC-862385299-1425987998&amp;term_occur=999&amp;term_src=title:26:subtitle:A:chapter:1:subchapter:B:part:IX:section:267" TargetMode="External"/><Relationship Id="rId56" Type="http://schemas.openxmlformats.org/officeDocument/2006/relationships/hyperlink" Target="https://www.law.cornell.edu/rio/citation/92_Stat._3627" TargetMode="External"/><Relationship Id="rId64" Type="http://schemas.openxmlformats.org/officeDocument/2006/relationships/hyperlink" Target="https://www.law.cornell.edu/rio/citation/102_Stat._3401" TargetMode="External"/><Relationship Id="rId69" Type="http://schemas.openxmlformats.org/officeDocument/2006/relationships/hyperlink" Target="https://www.law.cornell.edu/rio/citation/Pub._L._108-357" TargetMode="External"/><Relationship Id="rId77" Type="http://schemas.openxmlformats.org/officeDocument/2006/relationships/fontTable" Target="fontTable.xml"/><Relationship Id="rId8" Type="http://schemas.openxmlformats.org/officeDocument/2006/relationships/hyperlink" Target="https://www.law.cornell.edu/definitions/uscode.php?width=840&amp;height=800&amp;iframe=true&amp;def_id=26-USC-862385299-1425987998&amp;term_occur=999&amp;term_src=title:26:subtitle:A:chapter:1:subchapter:B:part:IX:section:267" TargetMode="External"/><Relationship Id="rId51" Type="http://schemas.openxmlformats.org/officeDocument/2006/relationships/hyperlink" Target="https://www.law.cornell.edu/definitions/uscode.php?width=840&amp;height=800&amp;iframe=true&amp;def_id=26-USC-862385299-1425987998&amp;term_occur=999&amp;term_src=title:26:subtitle:A:chapter:1:subchapter:B:part:IX:section:267" TargetMode="External"/><Relationship Id="rId72" Type="http://schemas.openxmlformats.org/officeDocument/2006/relationships/hyperlink" Target="https://www.law.cornell.edu/rio/citation/124_Stat._3549" TargetMode="External"/><Relationship Id="rId3" Type="http://schemas.openxmlformats.org/officeDocument/2006/relationships/settings" Target="settings.xml"/><Relationship Id="rId12" Type="http://schemas.openxmlformats.org/officeDocument/2006/relationships/hyperlink" Target="https://www.law.cornell.edu/uscode/text/26/11" TargetMode="External"/><Relationship Id="rId17" Type="http://schemas.openxmlformats.org/officeDocument/2006/relationships/hyperlink" Target="https://www.law.cornell.edu/definitions/uscode.php?width=840&amp;height=800&amp;iframe=true&amp;def_id=26-USC-570402602-1427839841&amp;term_occur=999&amp;term_src=" TargetMode="External"/><Relationship Id="rId25" Type="http://schemas.openxmlformats.org/officeDocument/2006/relationships/hyperlink" Target="https://www.law.cornell.edu/definitions/uscode.php?width=840&amp;height=800&amp;iframe=true&amp;def_id=26-USC-570402602-1427839841&amp;term_occur=999&amp;term_src=title:26:subtitle:A:chapter:1:subchapter:B:part:IX:section:267" TargetMode="External"/><Relationship Id="rId33" Type="http://schemas.openxmlformats.org/officeDocument/2006/relationships/hyperlink" Target="https://www.law.cornell.edu/definitions/uscode.php?width=840&amp;height=800&amp;iframe=true&amp;def_id=26-USC-570402602-1427839841&amp;term_occur=999&amp;term_src=" TargetMode="External"/><Relationship Id="rId38" Type="http://schemas.openxmlformats.org/officeDocument/2006/relationships/hyperlink" Target="https://www.law.cornell.edu/uscode/text/26/707" TargetMode="External"/><Relationship Id="rId46" Type="http://schemas.openxmlformats.org/officeDocument/2006/relationships/hyperlink" Target="https://www.law.cornell.edu/definitions/uscode.php?width=840&amp;height=800&amp;iframe=true&amp;def_id=26-USC-570402602-1427839841&amp;term_occur=999&amp;term_src=" TargetMode="External"/><Relationship Id="rId59" Type="http://schemas.openxmlformats.org/officeDocument/2006/relationships/hyperlink" Target="https://www.law.cornell.edu/rio/citation/Pub._L._98-369" TargetMode="External"/><Relationship Id="rId67" Type="http://schemas.openxmlformats.org/officeDocument/2006/relationships/hyperlink" Target="https://www.law.cornell.edu/rio/citation/Pub._L._106-170" TargetMode="External"/><Relationship Id="rId20" Type="http://schemas.openxmlformats.org/officeDocument/2006/relationships/hyperlink" Target="https://www.law.cornell.edu/uscode/text/26/707" TargetMode="External"/><Relationship Id="rId41" Type="http://schemas.openxmlformats.org/officeDocument/2006/relationships/hyperlink" Target="https://www.law.cornell.edu/definitions/uscode.php?width=840&amp;height=800&amp;iframe=true&amp;def_id=26-USC-155805697-1425988955&amp;term_occur=999&amp;term_src=" TargetMode="External"/><Relationship Id="rId54" Type="http://schemas.openxmlformats.org/officeDocument/2006/relationships/hyperlink" Target="https://www.law.cornell.edu/rio/citation/68A_Stat._78" TargetMode="External"/><Relationship Id="rId62" Type="http://schemas.openxmlformats.org/officeDocument/2006/relationships/hyperlink" Target="https://www.law.cornell.edu/rio/citation/100_Stat._2356" TargetMode="External"/><Relationship Id="rId70" Type="http://schemas.openxmlformats.org/officeDocument/2006/relationships/hyperlink" Target="https://www.law.cornell.edu/rio/citation/118_Stat._1598" TargetMode="External"/><Relationship Id="rId75" Type="http://schemas.openxmlformats.org/officeDocument/2006/relationships/hyperlink" Target="https://www.law.cornell.edu/rio/citation/Pub._L._114-113" TargetMode="External"/><Relationship Id="rId1" Type="http://schemas.openxmlformats.org/officeDocument/2006/relationships/numbering" Target="numbering.xml"/><Relationship Id="rId6" Type="http://schemas.openxmlformats.org/officeDocument/2006/relationships/hyperlink" Target="https://www.law.cornell.edu/definitions/uscode.php?width=840&amp;height=800&amp;iframe=true&amp;def_id=26-USC-1229130538-317025006&amp;term_occur=999&amp;term_src=title:26:subtitle:A:chapter:1:subchapter:B:part:IX:section:2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3832</Words>
  <Characters>21844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Steiner, Elizabeth G</dc:creator>
  <cp:keywords/>
  <dc:description/>
  <cp:lastModifiedBy>Steiner, Elizabeth G</cp:lastModifiedBy>
  <cp:revision>2</cp:revision>
  <cp:lastPrinted>2022-02-07T13:15:00Z</cp:lastPrinted>
  <dcterms:created xsi:type="dcterms:W3CDTF">2022-02-07T13:31:00Z</dcterms:created>
  <dcterms:modified xsi:type="dcterms:W3CDTF">2022-02-07T13:31:00Z</dcterms:modified>
</cp:coreProperties>
</file>