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1A9CE9"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center"/>
        <w:rPr>
          <w:rFonts w:asciiTheme="minorHAnsi" w:hAnsiTheme="minorHAnsi" w:cstheme="minorHAnsi"/>
          <w:b/>
          <w:szCs w:val="22"/>
        </w:rPr>
      </w:pPr>
      <w:r w:rsidRPr="00F33F26">
        <w:rPr>
          <w:rFonts w:asciiTheme="minorHAnsi" w:hAnsiTheme="minorHAnsi" w:cstheme="minorHAnsi"/>
          <w:b/>
          <w:szCs w:val="22"/>
        </w:rPr>
        <w:t>TITLE 126</w:t>
      </w:r>
    </w:p>
    <w:p w14:paraId="21026B64" w14:textId="2858D111"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center"/>
        <w:rPr>
          <w:rFonts w:asciiTheme="minorHAnsi" w:hAnsiTheme="minorHAnsi" w:cstheme="minorHAnsi"/>
          <w:b/>
          <w:szCs w:val="22"/>
        </w:rPr>
      </w:pPr>
      <w:r w:rsidRPr="00F33F26">
        <w:rPr>
          <w:rFonts w:asciiTheme="minorHAnsi" w:hAnsiTheme="minorHAnsi" w:cstheme="minorHAnsi"/>
          <w:b/>
          <w:szCs w:val="22"/>
        </w:rPr>
        <w:t>LEGISLATIVE RULE</w:t>
      </w:r>
    </w:p>
    <w:p w14:paraId="74DE9F83"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center"/>
        <w:rPr>
          <w:rFonts w:asciiTheme="minorHAnsi" w:hAnsiTheme="minorHAnsi" w:cstheme="minorHAnsi"/>
          <w:b/>
          <w:szCs w:val="22"/>
        </w:rPr>
      </w:pPr>
      <w:r w:rsidRPr="00F33F26">
        <w:rPr>
          <w:rFonts w:asciiTheme="minorHAnsi" w:hAnsiTheme="minorHAnsi" w:cstheme="minorHAnsi"/>
          <w:b/>
          <w:szCs w:val="22"/>
        </w:rPr>
        <w:t>BOARD OF EDUCATION</w:t>
      </w:r>
    </w:p>
    <w:p w14:paraId="1B9A49AC"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center"/>
        <w:rPr>
          <w:rFonts w:asciiTheme="minorHAnsi" w:hAnsiTheme="minorHAnsi" w:cstheme="minorHAnsi"/>
          <w:b/>
          <w:szCs w:val="22"/>
        </w:rPr>
      </w:pPr>
    </w:p>
    <w:p w14:paraId="09090050" w14:textId="7991F002"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center"/>
        <w:rPr>
          <w:rFonts w:asciiTheme="minorHAnsi" w:hAnsiTheme="minorHAnsi" w:cstheme="minorHAnsi"/>
          <w:b/>
          <w:szCs w:val="22"/>
        </w:rPr>
      </w:pPr>
      <w:r w:rsidRPr="00F33F26">
        <w:rPr>
          <w:rFonts w:asciiTheme="minorHAnsi" w:hAnsiTheme="minorHAnsi" w:cstheme="minorHAnsi"/>
          <w:b/>
          <w:szCs w:val="22"/>
        </w:rPr>
        <w:t>SERIES 189</w:t>
      </w:r>
    </w:p>
    <w:p w14:paraId="395DB2B6" w14:textId="3B10BAE8"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center"/>
        <w:rPr>
          <w:rFonts w:asciiTheme="minorHAnsi" w:hAnsiTheme="minorHAnsi" w:cstheme="minorHAnsi"/>
          <w:b/>
          <w:szCs w:val="22"/>
        </w:rPr>
      </w:pPr>
      <w:r w:rsidRPr="00F33F26">
        <w:rPr>
          <w:rFonts w:asciiTheme="minorHAnsi" w:hAnsiTheme="minorHAnsi" w:cstheme="minorHAnsi"/>
          <w:b/>
          <w:szCs w:val="22"/>
        </w:rPr>
        <w:t>INTERCOUNTY STUDENT TRANSFER APPEAL (</w:t>
      </w:r>
      <w:r w:rsidR="00D83735" w:rsidRPr="00F33F26">
        <w:rPr>
          <w:rFonts w:asciiTheme="minorHAnsi" w:hAnsiTheme="minorHAnsi" w:cstheme="minorHAnsi"/>
          <w:b/>
          <w:szCs w:val="22"/>
        </w:rPr>
        <w:t>7212</w:t>
      </w:r>
      <w:r w:rsidRPr="00F33F26">
        <w:rPr>
          <w:rFonts w:asciiTheme="minorHAnsi" w:hAnsiTheme="minorHAnsi" w:cstheme="minorHAnsi"/>
          <w:b/>
          <w:szCs w:val="22"/>
        </w:rPr>
        <w:t>)</w:t>
      </w:r>
    </w:p>
    <w:p w14:paraId="5A9DCC0E" w14:textId="40FD5791" w:rsidR="00FC27FA"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rPr>
          <w:rFonts w:asciiTheme="minorHAnsi" w:hAnsiTheme="minorHAnsi" w:cstheme="minorHAnsi"/>
          <w:b/>
          <w:szCs w:val="22"/>
        </w:rPr>
      </w:pPr>
    </w:p>
    <w:p w14:paraId="52152B18" w14:textId="77777777" w:rsidR="0071185C" w:rsidRPr="00F33F26" w:rsidRDefault="0071185C"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rPr>
          <w:rFonts w:asciiTheme="minorHAnsi" w:hAnsiTheme="minorHAnsi" w:cstheme="minorHAnsi"/>
          <w:b/>
          <w:szCs w:val="22"/>
        </w:rPr>
      </w:pPr>
    </w:p>
    <w:p w14:paraId="0050942E" w14:textId="4CC0BBDD"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b/>
          <w:szCs w:val="22"/>
        </w:rPr>
        <w:t>§126-189-1.  General.</w:t>
      </w:r>
    </w:p>
    <w:p w14:paraId="2E515B24"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022230ED" w14:textId="7B264040" w:rsidR="00FC27FA" w:rsidRPr="00F33F26" w:rsidRDefault="00FC27FA" w:rsidP="00065BB2">
      <w:pPr>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Cs w:val="22"/>
        </w:rPr>
      </w:pPr>
      <w:r w:rsidRPr="00F33F26">
        <w:rPr>
          <w:rFonts w:asciiTheme="minorHAnsi" w:hAnsiTheme="minorHAnsi" w:cstheme="minorHAnsi"/>
          <w:szCs w:val="22"/>
        </w:rPr>
        <w:t xml:space="preserve">1.1.  Scope.  </w:t>
      </w:r>
      <w:r w:rsidR="00B03D3F" w:rsidRPr="00F33F26">
        <w:rPr>
          <w:rFonts w:asciiTheme="minorHAnsi" w:hAnsiTheme="minorHAnsi" w:cstheme="minorHAnsi"/>
          <w:szCs w:val="22"/>
        </w:rPr>
        <w:t>-</w:t>
      </w:r>
      <w:r w:rsidRPr="00F33F26">
        <w:rPr>
          <w:rFonts w:asciiTheme="minorHAnsi" w:hAnsiTheme="minorHAnsi" w:cstheme="minorHAnsi"/>
          <w:szCs w:val="22"/>
        </w:rPr>
        <w:t xml:space="preserve">-  This legislative rule applies to every county board of education </w:t>
      </w:r>
      <w:r w:rsidR="00757494">
        <w:rPr>
          <w:rFonts w:asciiTheme="minorHAnsi" w:hAnsiTheme="minorHAnsi" w:cstheme="minorHAnsi"/>
          <w:szCs w:val="22"/>
        </w:rPr>
        <w:t xml:space="preserve">(county) </w:t>
      </w:r>
      <w:r w:rsidRPr="00F33F26">
        <w:rPr>
          <w:rFonts w:asciiTheme="minorHAnsi" w:hAnsiTheme="minorHAnsi" w:cstheme="minorHAnsi"/>
          <w:szCs w:val="22"/>
        </w:rPr>
        <w:t>and to every student attending public school within West Virginia.</w:t>
      </w:r>
    </w:p>
    <w:p w14:paraId="74BBA27A"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5D550CDF" w14:textId="0B239400"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szCs w:val="22"/>
        </w:rPr>
        <w:tab/>
        <w:t>1.2.  Authority.  --  W. Va. Constitution, Article XII, §2; W. Va. Code §§ 18-2-5, 18-3-3, 18-3-4, 18-3-10 and 18-5-16.</w:t>
      </w:r>
    </w:p>
    <w:p w14:paraId="22DB9CCF"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5E1B63D9" w14:textId="0595F11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szCs w:val="22"/>
        </w:rPr>
        <w:tab/>
        <w:t xml:space="preserve">1.3.  Filing Date.  --  </w:t>
      </w:r>
      <w:r w:rsidR="00DB1E95">
        <w:rPr>
          <w:rFonts w:asciiTheme="minorHAnsi" w:hAnsiTheme="minorHAnsi" w:cstheme="minorHAnsi"/>
          <w:szCs w:val="22"/>
        </w:rPr>
        <w:t>October 14, 2021</w:t>
      </w:r>
      <w:r w:rsidRPr="00F33F26">
        <w:rPr>
          <w:rFonts w:asciiTheme="minorHAnsi" w:hAnsiTheme="minorHAnsi" w:cstheme="minorHAnsi"/>
          <w:szCs w:val="22"/>
        </w:rPr>
        <w:t>.</w:t>
      </w:r>
    </w:p>
    <w:p w14:paraId="5BD273F1"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33B6C4E9" w14:textId="11DE6325"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szCs w:val="22"/>
        </w:rPr>
        <w:tab/>
        <w:t xml:space="preserve">1.4.  Effective Date.  --  </w:t>
      </w:r>
      <w:bookmarkStart w:id="0" w:name="_GoBack"/>
      <w:bookmarkEnd w:id="0"/>
      <w:r w:rsidR="00DB1E95">
        <w:rPr>
          <w:rFonts w:asciiTheme="minorHAnsi" w:hAnsiTheme="minorHAnsi" w:cstheme="minorHAnsi"/>
          <w:szCs w:val="22"/>
        </w:rPr>
        <w:t>November 15, 2021</w:t>
      </w:r>
      <w:r w:rsidRPr="00F33F26">
        <w:rPr>
          <w:rFonts w:asciiTheme="minorHAnsi" w:hAnsiTheme="minorHAnsi" w:cstheme="minorHAnsi"/>
          <w:szCs w:val="22"/>
        </w:rPr>
        <w:t>.</w:t>
      </w:r>
    </w:p>
    <w:p w14:paraId="05ACE8C1"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5569D9E0" w14:textId="7A908E9F"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szCs w:val="22"/>
        </w:rPr>
        <w:tab/>
        <w:t xml:space="preserve">1.5.  Repeal of Former Rule.  --  This legislative rule </w:t>
      </w:r>
      <w:r w:rsidR="00C13865" w:rsidRPr="00F33F26">
        <w:rPr>
          <w:rFonts w:asciiTheme="minorHAnsi" w:hAnsiTheme="minorHAnsi" w:cstheme="minorHAnsi"/>
          <w:szCs w:val="22"/>
        </w:rPr>
        <w:t>repeals and replaces</w:t>
      </w:r>
      <w:r w:rsidRPr="00F33F26">
        <w:rPr>
          <w:rFonts w:asciiTheme="minorHAnsi" w:hAnsiTheme="minorHAnsi" w:cstheme="minorHAnsi"/>
          <w:szCs w:val="22"/>
        </w:rPr>
        <w:t xml:space="preserve"> W. Va. 126CSR189, Policy 7212, Intercounty Student Transfer Appeal, filed January 11, 2000, and effective February 10, 2000.</w:t>
      </w:r>
    </w:p>
    <w:p w14:paraId="58D85531"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7E492B70" w14:textId="51F58009"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b/>
          <w:szCs w:val="22"/>
        </w:rPr>
        <w:t xml:space="preserve">§126-189-2. </w:t>
      </w:r>
      <w:r w:rsidR="00C13865" w:rsidRPr="00F33F26">
        <w:rPr>
          <w:rFonts w:asciiTheme="minorHAnsi" w:hAnsiTheme="minorHAnsi" w:cstheme="minorHAnsi"/>
          <w:b/>
          <w:szCs w:val="22"/>
        </w:rPr>
        <w:t xml:space="preserve"> </w:t>
      </w:r>
      <w:r w:rsidRPr="00F33F26">
        <w:rPr>
          <w:rFonts w:asciiTheme="minorHAnsi" w:hAnsiTheme="minorHAnsi" w:cstheme="minorHAnsi"/>
          <w:b/>
          <w:szCs w:val="22"/>
        </w:rPr>
        <w:t>Definitions.</w:t>
      </w:r>
    </w:p>
    <w:p w14:paraId="35054BCA"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2739639E" w14:textId="2B1C726B"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szCs w:val="22"/>
        </w:rPr>
        <w:tab/>
        <w:t xml:space="preserve">2.1. </w:t>
      </w:r>
      <w:r w:rsidR="00B03D3F" w:rsidRPr="00F33F26">
        <w:rPr>
          <w:rFonts w:asciiTheme="minorHAnsi" w:hAnsiTheme="minorHAnsi" w:cstheme="minorHAnsi"/>
          <w:szCs w:val="22"/>
        </w:rPr>
        <w:t xml:space="preserve"> </w:t>
      </w:r>
      <w:r w:rsidRPr="00F33F26">
        <w:rPr>
          <w:rFonts w:asciiTheme="minorHAnsi" w:hAnsiTheme="minorHAnsi" w:cstheme="minorHAnsi"/>
          <w:szCs w:val="22"/>
        </w:rPr>
        <w:t xml:space="preserve">Nonresident student. </w:t>
      </w:r>
      <w:r w:rsidR="00B03D3F" w:rsidRPr="00F33F26">
        <w:rPr>
          <w:rFonts w:asciiTheme="minorHAnsi" w:hAnsiTheme="minorHAnsi" w:cstheme="minorHAnsi"/>
          <w:szCs w:val="22"/>
        </w:rPr>
        <w:t xml:space="preserve"> </w:t>
      </w:r>
      <w:r w:rsidRPr="00F33F26">
        <w:rPr>
          <w:rFonts w:asciiTheme="minorHAnsi" w:hAnsiTheme="minorHAnsi" w:cstheme="minorHAnsi"/>
          <w:szCs w:val="22"/>
        </w:rPr>
        <w:t>A student who resides in this state and who is enrolled or is seeking enrollment in a county other than the county</w:t>
      </w:r>
      <w:r w:rsidR="001403A3">
        <w:rPr>
          <w:rFonts w:asciiTheme="minorHAnsi" w:hAnsiTheme="minorHAnsi" w:cstheme="minorHAnsi"/>
          <w:szCs w:val="22"/>
        </w:rPr>
        <w:t xml:space="preserve"> </w:t>
      </w:r>
      <w:r w:rsidRPr="00F33F26">
        <w:rPr>
          <w:rFonts w:asciiTheme="minorHAnsi" w:hAnsiTheme="minorHAnsi" w:cstheme="minorHAnsi"/>
          <w:szCs w:val="22"/>
        </w:rPr>
        <w:t>in which the student resides.</w:t>
      </w:r>
    </w:p>
    <w:p w14:paraId="2817F765" w14:textId="3A7A9E6E"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3DAB5238" w14:textId="537AD905"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szCs w:val="22"/>
        </w:rPr>
        <w:tab/>
        <w:t xml:space="preserve">2.2. </w:t>
      </w:r>
      <w:r w:rsidR="00B03D3F" w:rsidRPr="00F33F26">
        <w:rPr>
          <w:rFonts w:asciiTheme="minorHAnsi" w:hAnsiTheme="minorHAnsi" w:cstheme="minorHAnsi"/>
          <w:szCs w:val="22"/>
        </w:rPr>
        <w:t xml:space="preserve"> </w:t>
      </w:r>
      <w:r w:rsidRPr="00F33F26">
        <w:rPr>
          <w:rFonts w:asciiTheme="minorHAnsi" w:hAnsiTheme="minorHAnsi" w:cstheme="minorHAnsi"/>
          <w:szCs w:val="22"/>
        </w:rPr>
        <w:t xml:space="preserve">Receiving county. </w:t>
      </w:r>
      <w:r w:rsidR="00B03D3F" w:rsidRPr="00F33F26">
        <w:rPr>
          <w:rFonts w:asciiTheme="minorHAnsi" w:hAnsiTheme="minorHAnsi" w:cstheme="minorHAnsi"/>
          <w:szCs w:val="22"/>
        </w:rPr>
        <w:t xml:space="preserve"> </w:t>
      </w:r>
      <w:r w:rsidRPr="00F33F26">
        <w:rPr>
          <w:rFonts w:asciiTheme="minorHAnsi" w:hAnsiTheme="minorHAnsi" w:cstheme="minorHAnsi"/>
          <w:szCs w:val="22"/>
        </w:rPr>
        <w:t xml:space="preserve">The county </w:t>
      </w:r>
      <w:r w:rsidR="0050068A" w:rsidRPr="00F33F26">
        <w:rPr>
          <w:rFonts w:asciiTheme="minorHAnsi" w:hAnsiTheme="minorHAnsi" w:cstheme="minorHAnsi"/>
          <w:szCs w:val="22"/>
        </w:rPr>
        <w:t>in which the nonresident student is seeking to enroll.</w:t>
      </w:r>
      <w:r w:rsidRPr="00F33F26">
        <w:rPr>
          <w:rFonts w:asciiTheme="minorHAnsi" w:hAnsiTheme="minorHAnsi" w:cstheme="minorHAnsi"/>
          <w:szCs w:val="22"/>
        </w:rPr>
        <w:t xml:space="preserve"> </w:t>
      </w:r>
    </w:p>
    <w:p w14:paraId="2F34D76D"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0D1CB968" w14:textId="2AE47B05"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szCs w:val="22"/>
        </w:rPr>
        <w:tab/>
        <w:t xml:space="preserve">2.3. </w:t>
      </w:r>
      <w:r w:rsidR="00B03D3F" w:rsidRPr="00F33F26">
        <w:rPr>
          <w:rFonts w:asciiTheme="minorHAnsi" w:hAnsiTheme="minorHAnsi" w:cstheme="minorHAnsi"/>
          <w:szCs w:val="22"/>
        </w:rPr>
        <w:t xml:space="preserve"> </w:t>
      </w:r>
      <w:r w:rsidRPr="00F33F26">
        <w:rPr>
          <w:rFonts w:asciiTheme="minorHAnsi" w:hAnsiTheme="minorHAnsi" w:cstheme="minorHAnsi"/>
          <w:szCs w:val="22"/>
        </w:rPr>
        <w:t>Sending county</w:t>
      </w:r>
      <w:r w:rsidR="0050068A" w:rsidRPr="00F33F26">
        <w:rPr>
          <w:rFonts w:asciiTheme="minorHAnsi" w:hAnsiTheme="minorHAnsi" w:cstheme="minorHAnsi"/>
          <w:szCs w:val="22"/>
        </w:rPr>
        <w:t xml:space="preserve">. </w:t>
      </w:r>
      <w:r w:rsidR="00B03D3F" w:rsidRPr="00F33F26">
        <w:rPr>
          <w:rFonts w:asciiTheme="minorHAnsi" w:hAnsiTheme="minorHAnsi" w:cstheme="minorHAnsi"/>
          <w:szCs w:val="22"/>
        </w:rPr>
        <w:t xml:space="preserve"> </w:t>
      </w:r>
      <w:r w:rsidR="0050068A" w:rsidRPr="00F33F26">
        <w:rPr>
          <w:rFonts w:asciiTheme="minorHAnsi" w:hAnsiTheme="minorHAnsi" w:cstheme="minorHAnsi"/>
          <w:szCs w:val="22"/>
        </w:rPr>
        <w:t>The county of residence of the nonresident student.</w:t>
      </w:r>
    </w:p>
    <w:p w14:paraId="56A3CF0D" w14:textId="654B1C68" w:rsidR="00220BD2"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0D8DB733" w14:textId="1A503F5E" w:rsidR="00220BD2"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szCs w:val="22"/>
        </w:rPr>
        <w:tab/>
        <w:t xml:space="preserve">2.4. </w:t>
      </w:r>
      <w:r w:rsidR="00B03D3F" w:rsidRPr="00F33F26">
        <w:rPr>
          <w:rFonts w:asciiTheme="minorHAnsi" w:hAnsiTheme="minorHAnsi" w:cstheme="minorHAnsi"/>
          <w:szCs w:val="22"/>
        </w:rPr>
        <w:t xml:space="preserve"> </w:t>
      </w:r>
      <w:r w:rsidRPr="00F33F26">
        <w:rPr>
          <w:rFonts w:asciiTheme="minorHAnsi" w:hAnsiTheme="minorHAnsi" w:cstheme="minorHAnsi"/>
          <w:szCs w:val="22"/>
        </w:rPr>
        <w:t xml:space="preserve">Transfer application. </w:t>
      </w:r>
      <w:r w:rsidR="00B03D3F" w:rsidRPr="00F33F26">
        <w:rPr>
          <w:rFonts w:asciiTheme="minorHAnsi" w:hAnsiTheme="minorHAnsi" w:cstheme="minorHAnsi"/>
          <w:szCs w:val="22"/>
        </w:rPr>
        <w:t xml:space="preserve"> </w:t>
      </w:r>
      <w:r w:rsidRPr="00F33F26">
        <w:rPr>
          <w:rFonts w:asciiTheme="minorHAnsi" w:hAnsiTheme="minorHAnsi" w:cstheme="minorHAnsi"/>
          <w:szCs w:val="22"/>
        </w:rPr>
        <w:t>The application a nonresident student submits to the receiving county to enroll and attend a school within the receiving county’s jurisdiction.</w:t>
      </w:r>
    </w:p>
    <w:p w14:paraId="4A049B9D" w14:textId="693C89F0"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7AE70D4D" w14:textId="730EA46B"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b/>
          <w:szCs w:val="22"/>
        </w:rPr>
        <w:t>§126-189-3.  County Board Open Enrollment Policy.</w:t>
      </w:r>
    </w:p>
    <w:p w14:paraId="59691727"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19ABA61D" w14:textId="53734AC1"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t xml:space="preserve">3.1.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All count</w:t>
      </w:r>
      <w:r w:rsidR="009223AB">
        <w:rPr>
          <w:rFonts w:asciiTheme="minorHAnsi" w:hAnsiTheme="minorHAnsi" w:cstheme="minorHAnsi"/>
          <w:color w:val="000000"/>
          <w:szCs w:val="22"/>
        </w:rPr>
        <w:t>ies</w:t>
      </w:r>
      <w:r w:rsidRPr="00F33F26">
        <w:rPr>
          <w:rFonts w:asciiTheme="minorHAnsi" w:hAnsiTheme="minorHAnsi" w:cstheme="minorHAnsi"/>
          <w:color w:val="000000"/>
          <w:szCs w:val="22"/>
        </w:rPr>
        <w:t xml:space="preserve"> are statutorily required to adopt an open enrollment policy that clearly outlines the application process for nonresident students to </w:t>
      </w:r>
      <w:r w:rsidR="00220BD2" w:rsidRPr="00F33F26">
        <w:rPr>
          <w:rFonts w:asciiTheme="minorHAnsi" w:hAnsiTheme="minorHAnsi" w:cstheme="minorHAnsi"/>
          <w:color w:val="000000"/>
          <w:szCs w:val="22"/>
        </w:rPr>
        <w:t xml:space="preserve">submit a transfer application to </w:t>
      </w:r>
      <w:r w:rsidRPr="00F33F26">
        <w:rPr>
          <w:rFonts w:asciiTheme="minorHAnsi" w:hAnsiTheme="minorHAnsi" w:cstheme="minorHAnsi"/>
          <w:color w:val="000000"/>
          <w:szCs w:val="22"/>
        </w:rPr>
        <w:t xml:space="preserve">enroll and attend school </w:t>
      </w:r>
      <w:r w:rsidR="0050068A" w:rsidRPr="00F33F26">
        <w:rPr>
          <w:rFonts w:asciiTheme="minorHAnsi" w:hAnsiTheme="minorHAnsi" w:cstheme="minorHAnsi"/>
          <w:color w:val="000000"/>
          <w:szCs w:val="22"/>
        </w:rPr>
        <w:t>in the receiving county.</w:t>
      </w:r>
    </w:p>
    <w:p w14:paraId="602E2929" w14:textId="65EE029A" w:rsidR="0050068A" w:rsidRPr="00F33F26"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76E6BFAF" w14:textId="57BE5656" w:rsidR="0050068A" w:rsidRPr="00F33F26"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t xml:space="preserve">3.2.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The county open enrollment policy may include the preferences for students meeting any of the following criteria:</w:t>
      </w:r>
    </w:p>
    <w:p w14:paraId="4C3A7014" w14:textId="78EA8D26" w:rsidR="0050068A" w:rsidRPr="00F33F26"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5935DB7F" w14:textId="3C030DBD" w:rsidR="0050068A" w:rsidRPr="00F33F26"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t xml:space="preserve">3.2.a.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Siblings of students already enrolled through the receiving county’s open enrollment policy.</w:t>
      </w:r>
    </w:p>
    <w:p w14:paraId="355F3D52" w14:textId="21C03C5F" w:rsidR="0050068A" w:rsidRPr="00F33F26"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66D8CA39" w14:textId="14EBCD38" w:rsidR="0050068A"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t xml:space="preserve">3.2.b.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 xml:space="preserve">Secondary students who have completed </w:t>
      </w:r>
      <w:r w:rsidR="00B03D3F" w:rsidRPr="00F33F26">
        <w:rPr>
          <w:rFonts w:asciiTheme="minorHAnsi" w:hAnsiTheme="minorHAnsi" w:cstheme="minorHAnsi"/>
          <w:color w:val="000000"/>
          <w:szCs w:val="22"/>
        </w:rPr>
        <w:t>g</w:t>
      </w:r>
      <w:r w:rsidRPr="00F33F26">
        <w:rPr>
          <w:rFonts w:asciiTheme="minorHAnsi" w:hAnsiTheme="minorHAnsi" w:cstheme="minorHAnsi"/>
          <w:color w:val="000000"/>
          <w:szCs w:val="22"/>
        </w:rPr>
        <w:t xml:space="preserve">rade 10 and, due to family relocation, become nonresident students, but express the desire to remain in a specific school within the receiving county to </w:t>
      </w:r>
      <w:r w:rsidRPr="00F33F26">
        <w:rPr>
          <w:rFonts w:asciiTheme="minorHAnsi" w:hAnsiTheme="minorHAnsi" w:cstheme="minorHAnsi"/>
          <w:color w:val="000000"/>
          <w:szCs w:val="22"/>
        </w:rPr>
        <w:lastRenderedPageBreak/>
        <w:t>complete their education.</w:t>
      </w:r>
    </w:p>
    <w:p w14:paraId="352C92B2" w14:textId="77777777" w:rsidR="0071185C" w:rsidRPr="00F33F26" w:rsidRDefault="0071185C"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0DAFAC0A" w14:textId="593683C1" w:rsidR="0050068A" w:rsidRPr="00F33F26"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t xml:space="preserve">3.2.c.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Students who are children, grandchildren, or legal wards of employees of the nonresident county.</w:t>
      </w:r>
    </w:p>
    <w:p w14:paraId="7FA6A38D" w14:textId="36DD42D9" w:rsidR="0050068A" w:rsidRPr="00F33F26"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615A4497" w14:textId="1B6972FC" w:rsidR="0050068A" w:rsidRPr="00F33F26"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t xml:space="preserve">3.2.d.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Students whose legal residences, though geographically within the sending county, are more proximate to a school within the receiving county, whether calculated by miles or transportation time.</w:t>
      </w:r>
    </w:p>
    <w:p w14:paraId="4642CD0D" w14:textId="0BC1353B" w:rsidR="0050068A" w:rsidRPr="00F33F26"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0E23D32E" w14:textId="376CE84B" w:rsidR="0050068A" w:rsidRPr="00F33F26"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t xml:space="preserve">3.2.e.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Students who reside in a portion of a sending county where topography, impassable roads, long bus rides, or other conditions prevent practicable transportation of the nonresident student to a school within the sending county, and a school within the receiving county is more easily accessible.</w:t>
      </w:r>
    </w:p>
    <w:p w14:paraId="157109E2" w14:textId="2C94ECC2" w:rsidR="0050068A" w:rsidRPr="00F33F26"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352BA1D0" w14:textId="6B52AC4D" w:rsidR="00FC27FA" w:rsidRPr="00F33F26" w:rsidRDefault="0050068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t xml:space="preserve">3.3.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The receiving county</w:t>
      </w:r>
      <w:r w:rsidR="00222749" w:rsidRPr="00F33F26">
        <w:rPr>
          <w:rFonts w:asciiTheme="minorHAnsi" w:hAnsiTheme="minorHAnsi" w:cstheme="minorHAnsi"/>
          <w:color w:val="000000"/>
          <w:szCs w:val="22"/>
        </w:rPr>
        <w:t xml:space="preserve"> may, but</w:t>
      </w:r>
      <w:r w:rsidRPr="00F33F26">
        <w:rPr>
          <w:rFonts w:asciiTheme="minorHAnsi" w:hAnsiTheme="minorHAnsi" w:cstheme="minorHAnsi"/>
          <w:color w:val="000000"/>
          <w:szCs w:val="22"/>
        </w:rPr>
        <w:t xml:space="preserve"> is not required</w:t>
      </w:r>
      <w:r w:rsidR="00222749" w:rsidRPr="00F33F26">
        <w:rPr>
          <w:rFonts w:asciiTheme="minorHAnsi" w:hAnsiTheme="minorHAnsi" w:cstheme="minorHAnsi"/>
          <w:color w:val="000000"/>
          <w:szCs w:val="22"/>
        </w:rPr>
        <w:t>,</w:t>
      </w:r>
      <w:r w:rsidRPr="00F33F26">
        <w:rPr>
          <w:rFonts w:asciiTheme="minorHAnsi" w:hAnsiTheme="minorHAnsi" w:cstheme="minorHAnsi"/>
          <w:color w:val="000000"/>
          <w:szCs w:val="22"/>
        </w:rPr>
        <w:t xml:space="preserve"> to provide </w:t>
      </w:r>
      <w:r w:rsidR="00222749" w:rsidRPr="00F33F26">
        <w:rPr>
          <w:rFonts w:asciiTheme="minorHAnsi" w:hAnsiTheme="minorHAnsi" w:cstheme="minorHAnsi"/>
          <w:color w:val="000000"/>
          <w:szCs w:val="22"/>
        </w:rPr>
        <w:t>transportation to a nonresident student’s residence, subject to the following</w:t>
      </w:r>
      <w:r w:rsidR="00EA4BCF">
        <w:rPr>
          <w:rFonts w:asciiTheme="minorHAnsi" w:hAnsiTheme="minorHAnsi" w:cstheme="minorHAnsi"/>
          <w:color w:val="000000"/>
          <w:szCs w:val="22"/>
        </w:rPr>
        <w:t>.</w:t>
      </w:r>
      <w:r w:rsidR="00222749" w:rsidRPr="00F33F26">
        <w:rPr>
          <w:rFonts w:asciiTheme="minorHAnsi" w:hAnsiTheme="minorHAnsi" w:cstheme="minorHAnsi"/>
          <w:color w:val="000000"/>
          <w:szCs w:val="22"/>
        </w:rPr>
        <w:t xml:space="preserve"> </w:t>
      </w:r>
    </w:p>
    <w:p w14:paraId="6B5E80B1" w14:textId="237BFA11" w:rsidR="00222749" w:rsidRPr="00F33F26" w:rsidRDefault="00222749"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66352A13" w14:textId="65730963" w:rsidR="00222749" w:rsidRPr="00F33F26" w:rsidRDefault="00222749"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t xml:space="preserve">3.3.a.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The receiving county does not have to uniformly provide transportation to nonresident students</w:t>
      </w:r>
      <w:r w:rsidR="00765F2B" w:rsidRPr="00F33F26">
        <w:rPr>
          <w:rFonts w:asciiTheme="minorHAnsi" w:hAnsiTheme="minorHAnsi" w:cstheme="minorHAnsi"/>
          <w:color w:val="000000"/>
          <w:szCs w:val="22"/>
        </w:rPr>
        <w:t>.</w:t>
      </w:r>
    </w:p>
    <w:p w14:paraId="051669AA" w14:textId="47E059F3" w:rsidR="00222749" w:rsidRPr="00F33F26" w:rsidRDefault="00222749"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277EB76F" w14:textId="3FEE3EB8" w:rsidR="00222749" w:rsidRPr="00F33F26" w:rsidRDefault="00222749"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t>3.3.b.</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 xml:space="preserve">For nonresident students with an individualized education program that specifies transportation is necessary for fulfillment of the program, the receiving </w:t>
      </w:r>
      <w:r w:rsidR="00220BD2" w:rsidRPr="00F33F26">
        <w:rPr>
          <w:rFonts w:asciiTheme="minorHAnsi" w:hAnsiTheme="minorHAnsi" w:cstheme="minorHAnsi"/>
          <w:color w:val="000000"/>
          <w:szCs w:val="22"/>
        </w:rPr>
        <w:t>county shall either:</w:t>
      </w:r>
    </w:p>
    <w:p w14:paraId="691ED640" w14:textId="5F0E5274" w:rsidR="00220BD2"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437E19FC" w14:textId="12DC7911" w:rsidR="00220BD2" w:rsidRPr="006404A9"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u w:val="single"/>
        </w:rPr>
      </w:pP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t xml:space="preserve">3.3.b.1.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Provide transportation to and from the school the nonresident student is attending and the nonresident student’s residence;</w:t>
      </w:r>
      <w:r w:rsidR="006404A9" w:rsidRPr="00EA4BCF">
        <w:rPr>
          <w:rFonts w:asciiTheme="minorHAnsi" w:hAnsiTheme="minorHAnsi" w:cstheme="minorHAnsi"/>
          <w:color w:val="000000"/>
          <w:szCs w:val="22"/>
        </w:rPr>
        <w:t xml:space="preserve"> or</w:t>
      </w:r>
    </w:p>
    <w:p w14:paraId="0B1CCBC1" w14:textId="6AC16F85" w:rsidR="00220BD2"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19E03B4D" w14:textId="52FA7AFE" w:rsidR="00220BD2"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t xml:space="preserve">3.3.b.2.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Provide transportation to and from an agreed upon pickup point on a regular transportation route within the receiving county; or</w:t>
      </w:r>
    </w:p>
    <w:p w14:paraId="5F168A34" w14:textId="7EC0E6A5" w:rsidR="00220BD2"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6C253589" w14:textId="6E4D4314" w:rsidR="00220BD2"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t xml:space="preserve">3.3.b.3.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 xml:space="preserve">Provide </w:t>
      </w:r>
      <w:r w:rsidR="005C4901" w:rsidRPr="00F33F26">
        <w:rPr>
          <w:rFonts w:asciiTheme="minorHAnsi" w:hAnsiTheme="minorHAnsi" w:cstheme="minorHAnsi"/>
          <w:color w:val="000000"/>
          <w:szCs w:val="22"/>
        </w:rPr>
        <w:t xml:space="preserve">payment in lieu of transportation </w:t>
      </w:r>
      <w:r w:rsidRPr="00F33F26">
        <w:rPr>
          <w:rFonts w:asciiTheme="minorHAnsi" w:hAnsiTheme="minorHAnsi" w:cstheme="minorHAnsi"/>
          <w:color w:val="000000"/>
          <w:szCs w:val="22"/>
        </w:rPr>
        <w:t>for the total miles traveled each day to and from the school the nonresident student is attending and the nonresident student’s residence.</w:t>
      </w:r>
    </w:p>
    <w:p w14:paraId="5BD05511" w14:textId="77777777" w:rsidR="00220BD2"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495D4E83" w14:textId="5F41BBE5" w:rsidR="00220BD2" w:rsidRPr="00F33F26" w:rsidRDefault="00B03D3F"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00220BD2" w:rsidRPr="00F33F26">
        <w:rPr>
          <w:rFonts w:asciiTheme="minorHAnsi" w:hAnsiTheme="minorHAnsi" w:cstheme="minorHAnsi"/>
          <w:color w:val="000000"/>
          <w:szCs w:val="22"/>
        </w:rPr>
        <w:tab/>
        <w:t xml:space="preserve">3.3.c. </w:t>
      </w:r>
      <w:r w:rsidRPr="00F33F26">
        <w:rPr>
          <w:rFonts w:asciiTheme="minorHAnsi" w:hAnsiTheme="minorHAnsi" w:cstheme="minorHAnsi"/>
          <w:color w:val="000000"/>
          <w:szCs w:val="22"/>
        </w:rPr>
        <w:t xml:space="preserve"> </w:t>
      </w:r>
      <w:r w:rsidR="00220BD2" w:rsidRPr="00F33F26">
        <w:rPr>
          <w:rFonts w:asciiTheme="minorHAnsi" w:hAnsiTheme="minorHAnsi" w:cstheme="minorHAnsi"/>
          <w:color w:val="000000"/>
          <w:szCs w:val="22"/>
        </w:rPr>
        <w:t>The receiving county may only deny a transfer application for the following reasons</w:t>
      </w:r>
      <w:r w:rsidR="00EA4BCF">
        <w:rPr>
          <w:rFonts w:asciiTheme="minorHAnsi" w:hAnsiTheme="minorHAnsi" w:cstheme="minorHAnsi"/>
          <w:color w:val="000000"/>
          <w:szCs w:val="22"/>
        </w:rPr>
        <w:t>.</w:t>
      </w:r>
    </w:p>
    <w:p w14:paraId="115ACEF2" w14:textId="63C1CB97" w:rsidR="00220BD2"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28E08049" w14:textId="6166B4BB" w:rsidR="00795236"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00B03D3F" w:rsidRPr="00F33F26">
        <w:rPr>
          <w:rFonts w:asciiTheme="minorHAnsi" w:hAnsiTheme="minorHAnsi" w:cstheme="minorHAnsi"/>
          <w:color w:val="000000"/>
          <w:szCs w:val="22"/>
        </w:rPr>
        <w:tab/>
      </w:r>
      <w:r w:rsidRPr="00F33F26">
        <w:rPr>
          <w:rFonts w:asciiTheme="minorHAnsi" w:hAnsiTheme="minorHAnsi" w:cstheme="minorHAnsi"/>
          <w:color w:val="000000"/>
          <w:szCs w:val="22"/>
        </w:rPr>
        <w:tab/>
        <w:t xml:space="preserve">3.3.c.1.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There is a lack of grade level capacity in the receiving county</w:t>
      </w:r>
      <w:r w:rsidR="00795236" w:rsidRPr="00F33F26">
        <w:rPr>
          <w:rFonts w:asciiTheme="minorHAnsi" w:hAnsiTheme="minorHAnsi" w:cstheme="minorHAnsi"/>
          <w:color w:val="000000"/>
          <w:szCs w:val="22"/>
        </w:rPr>
        <w:t xml:space="preserve">. </w:t>
      </w:r>
    </w:p>
    <w:p w14:paraId="510F6223" w14:textId="77777777" w:rsidR="00795236" w:rsidRPr="00F33F26" w:rsidRDefault="00795236"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1CAC4A1B" w14:textId="2300D077" w:rsidR="00220BD2" w:rsidRPr="00F33F26" w:rsidRDefault="00B03D3F"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r>
      <w:r w:rsidRPr="00F33F26">
        <w:rPr>
          <w:rFonts w:asciiTheme="minorHAnsi" w:hAnsiTheme="minorHAnsi" w:cstheme="minorHAnsi"/>
          <w:color w:val="000000"/>
          <w:szCs w:val="22"/>
        </w:rPr>
        <w:tab/>
      </w:r>
      <w:r w:rsidR="00795236" w:rsidRPr="00F33F26">
        <w:rPr>
          <w:rFonts w:asciiTheme="minorHAnsi" w:hAnsiTheme="minorHAnsi" w:cstheme="minorHAnsi"/>
          <w:color w:val="000000"/>
          <w:szCs w:val="22"/>
        </w:rPr>
        <w:t xml:space="preserve">3.3.c.1.A. </w:t>
      </w:r>
      <w:r w:rsidRPr="00F33F26">
        <w:rPr>
          <w:rFonts w:asciiTheme="minorHAnsi" w:hAnsiTheme="minorHAnsi" w:cstheme="minorHAnsi"/>
          <w:color w:val="000000"/>
          <w:szCs w:val="22"/>
        </w:rPr>
        <w:t xml:space="preserve"> </w:t>
      </w:r>
      <w:r w:rsidR="00795236" w:rsidRPr="00F33F26">
        <w:rPr>
          <w:rFonts w:asciiTheme="minorHAnsi" w:hAnsiTheme="minorHAnsi" w:cstheme="minorHAnsi"/>
          <w:color w:val="000000"/>
          <w:szCs w:val="22"/>
        </w:rPr>
        <w:t>Lack of grade level capacity means if approval of the transfer request would result in the receiving county being required to employ additional staff or compensate a classroom teacher pursuant to W.</w:t>
      </w:r>
      <w:r w:rsidRPr="00F33F26">
        <w:rPr>
          <w:rFonts w:asciiTheme="minorHAnsi" w:hAnsiTheme="minorHAnsi" w:cstheme="minorHAnsi"/>
          <w:color w:val="000000"/>
          <w:szCs w:val="22"/>
        </w:rPr>
        <w:t xml:space="preserve"> </w:t>
      </w:r>
      <w:r w:rsidR="00795236" w:rsidRPr="00F33F26">
        <w:rPr>
          <w:rFonts w:asciiTheme="minorHAnsi" w:hAnsiTheme="minorHAnsi" w:cstheme="minorHAnsi"/>
          <w:color w:val="000000"/>
          <w:szCs w:val="22"/>
        </w:rPr>
        <w:t>Va. Code §18-5-18a.</w:t>
      </w:r>
    </w:p>
    <w:p w14:paraId="63B01F26" w14:textId="76A7D8E8" w:rsidR="00220BD2"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20392FE6" w14:textId="45CD44F5" w:rsidR="00220BD2" w:rsidRPr="00F33F26" w:rsidRDefault="00B03D3F"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00220BD2" w:rsidRPr="00F33F26">
        <w:rPr>
          <w:rFonts w:asciiTheme="minorHAnsi" w:hAnsiTheme="minorHAnsi" w:cstheme="minorHAnsi"/>
          <w:color w:val="000000"/>
          <w:szCs w:val="22"/>
        </w:rPr>
        <w:tab/>
      </w:r>
      <w:r w:rsidR="00220BD2" w:rsidRPr="00F33F26">
        <w:rPr>
          <w:rFonts w:asciiTheme="minorHAnsi" w:hAnsiTheme="minorHAnsi" w:cstheme="minorHAnsi"/>
          <w:color w:val="000000"/>
          <w:szCs w:val="22"/>
        </w:rPr>
        <w:tab/>
        <w:t xml:space="preserve">3.3.c.2. </w:t>
      </w:r>
      <w:r w:rsidRPr="00F33F26">
        <w:rPr>
          <w:rFonts w:asciiTheme="minorHAnsi" w:hAnsiTheme="minorHAnsi" w:cstheme="minorHAnsi"/>
          <w:color w:val="000000"/>
          <w:szCs w:val="22"/>
        </w:rPr>
        <w:t xml:space="preserve"> </w:t>
      </w:r>
      <w:r w:rsidR="00220BD2" w:rsidRPr="00F33F26">
        <w:rPr>
          <w:rFonts w:asciiTheme="minorHAnsi" w:hAnsiTheme="minorHAnsi" w:cstheme="minorHAnsi"/>
          <w:color w:val="000000"/>
          <w:szCs w:val="22"/>
        </w:rPr>
        <w:t>The nonresident student failed to submit the transfer application correctly.</w:t>
      </w:r>
    </w:p>
    <w:p w14:paraId="46B558D4" w14:textId="361D94C2" w:rsidR="00220BD2"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27E0B051" w14:textId="4AA3EAAE" w:rsidR="00220BD2" w:rsidRPr="00F33F26" w:rsidRDefault="00220BD2"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t xml:space="preserve">3.4.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 xml:space="preserve">All denials of transfer applications shall be in writing, and include an explanation for the denial and information on how the denial may be </w:t>
      </w:r>
      <w:r w:rsidR="005C4901" w:rsidRPr="00F33F26">
        <w:rPr>
          <w:rFonts w:asciiTheme="minorHAnsi" w:hAnsiTheme="minorHAnsi" w:cstheme="minorHAnsi"/>
          <w:color w:val="000000"/>
          <w:szCs w:val="22"/>
        </w:rPr>
        <w:t>appealed</w:t>
      </w:r>
      <w:r w:rsidRPr="00F33F26">
        <w:rPr>
          <w:rFonts w:asciiTheme="minorHAnsi" w:hAnsiTheme="minorHAnsi" w:cstheme="minorHAnsi"/>
          <w:color w:val="000000"/>
          <w:szCs w:val="22"/>
        </w:rPr>
        <w:t xml:space="preserve"> to the State Superintendent of Schools</w:t>
      </w:r>
      <w:r w:rsidR="00B03D3F" w:rsidRPr="00F33F26">
        <w:rPr>
          <w:rFonts w:asciiTheme="minorHAnsi" w:hAnsiTheme="minorHAnsi" w:cstheme="minorHAnsi"/>
          <w:color w:val="000000"/>
          <w:szCs w:val="22"/>
        </w:rPr>
        <w:t xml:space="preserve"> (State Superintendent)</w:t>
      </w:r>
      <w:r w:rsidRPr="00F33F26">
        <w:rPr>
          <w:rFonts w:asciiTheme="minorHAnsi" w:hAnsiTheme="minorHAnsi" w:cstheme="minorHAnsi"/>
          <w:color w:val="000000"/>
          <w:szCs w:val="22"/>
        </w:rPr>
        <w:t xml:space="preserve">. </w:t>
      </w:r>
      <w:r w:rsidR="00B03D3F" w:rsidRPr="00F33F26">
        <w:rPr>
          <w:rFonts w:asciiTheme="minorHAnsi" w:hAnsiTheme="minorHAnsi" w:cstheme="minorHAnsi"/>
          <w:color w:val="000000"/>
          <w:szCs w:val="22"/>
        </w:rPr>
        <w:t xml:space="preserve"> </w:t>
      </w:r>
      <w:r w:rsidR="00765F2B" w:rsidRPr="00F33F26">
        <w:rPr>
          <w:rFonts w:asciiTheme="minorHAnsi" w:hAnsiTheme="minorHAnsi" w:cstheme="minorHAnsi"/>
          <w:color w:val="000000"/>
          <w:szCs w:val="22"/>
        </w:rPr>
        <w:t>The written denial shall be provided to the parents/guardians of the nonresident student and the State Superintendent within three business days of the date the receiving county denied the transfer application.</w:t>
      </w:r>
    </w:p>
    <w:p w14:paraId="42BAC37F" w14:textId="0A0476BB" w:rsidR="00FC27FA"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684BA305" w14:textId="77777777" w:rsidR="0071185C" w:rsidRPr="00F33F26" w:rsidRDefault="0071185C"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1406B5F0" w14:textId="12D36C81" w:rsidR="00765F2B" w:rsidRPr="00F33F26" w:rsidRDefault="00765F2B"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b/>
          <w:szCs w:val="22"/>
        </w:rPr>
        <w:lastRenderedPageBreak/>
        <w:t>§126-189-4. Transfer Application Appeals.</w:t>
      </w:r>
    </w:p>
    <w:p w14:paraId="7442E670"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2DEE5EAA" w14:textId="25771162" w:rsidR="00FC27FA" w:rsidRPr="00F33F26" w:rsidRDefault="00765F2B"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color w:val="000000"/>
          <w:szCs w:val="22"/>
        </w:rPr>
        <w:tab/>
        <w:t xml:space="preserve">4.1. </w:t>
      </w:r>
      <w:r w:rsidR="00B03D3F" w:rsidRPr="00F33F26">
        <w:rPr>
          <w:rFonts w:asciiTheme="minorHAnsi" w:hAnsiTheme="minorHAnsi" w:cstheme="minorHAnsi"/>
          <w:color w:val="000000"/>
          <w:szCs w:val="22"/>
        </w:rPr>
        <w:t xml:space="preserve"> </w:t>
      </w:r>
      <w:r w:rsidR="00FC27FA" w:rsidRPr="00F33F26">
        <w:rPr>
          <w:rFonts w:asciiTheme="minorHAnsi" w:hAnsiTheme="minorHAnsi" w:cstheme="minorHAnsi"/>
          <w:color w:val="000000"/>
          <w:szCs w:val="22"/>
        </w:rPr>
        <w:t xml:space="preserve">Any </w:t>
      </w:r>
      <w:r w:rsidRPr="00F33F26">
        <w:rPr>
          <w:rFonts w:asciiTheme="minorHAnsi" w:hAnsiTheme="minorHAnsi" w:cstheme="minorHAnsi"/>
          <w:color w:val="000000"/>
          <w:szCs w:val="22"/>
        </w:rPr>
        <w:t xml:space="preserve">nonresident </w:t>
      </w:r>
      <w:r w:rsidR="00FC27FA" w:rsidRPr="00F33F26">
        <w:rPr>
          <w:rFonts w:asciiTheme="minorHAnsi" w:hAnsiTheme="minorHAnsi" w:cstheme="minorHAnsi"/>
          <w:color w:val="000000"/>
          <w:szCs w:val="22"/>
        </w:rPr>
        <w:t xml:space="preserve">student whose </w:t>
      </w:r>
      <w:r w:rsidRPr="00F33F26">
        <w:rPr>
          <w:rFonts w:asciiTheme="minorHAnsi" w:hAnsiTheme="minorHAnsi" w:cstheme="minorHAnsi"/>
          <w:color w:val="000000"/>
          <w:szCs w:val="22"/>
        </w:rPr>
        <w:t xml:space="preserve">transfer </w:t>
      </w:r>
      <w:r w:rsidR="00FC27FA" w:rsidRPr="00F33F26">
        <w:rPr>
          <w:rFonts w:asciiTheme="minorHAnsi" w:hAnsiTheme="minorHAnsi" w:cstheme="minorHAnsi"/>
          <w:color w:val="000000"/>
          <w:szCs w:val="22"/>
        </w:rPr>
        <w:t xml:space="preserve">application </w:t>
      </w:r>
      <w:r w:rsidRPr="00F33F26">
        <w:rPr>
          <w:rFonts w:asciiTheme="minorHAnsi" w:hAnsiTheme="minorHAnsi" w:cstheme="minorHAnsi"/>
          <w:color w:val="000000"/>
          <w:szCs w:val="22"/>
        </w:rPr>
        <w:t xml:space="preserve">is denied </w:t>
      </w:r>
      <w:r w:rsidR="00FC27FA" w:rsidRPr="00F33F26">
        <w:rPr>
          <w:rFonts w:asciiTheme="minorHAnsi" w:hAnsiTheme="minorHAnsi" w:cstheme="minorHAnsi"/>
          <w:color w:val="000000"/>
          <w:szCs w:val="22"/>
        </w:rPr>
        <w:t>may file an appeal with the State Superintendent</w:t>
      </w:r>
      <w:r w:rsidRPr="00F33F26">
        <w:rPr>
          <w:rFonts w:asciiTheme="minorHAnsi" w:hAnsiTheme="minorHAnsi" w:cstheme="minorHAnsi"/>
          <w:color w:val="000000"/>
          <w:szCs w:val="22"/>
        </w:rPr>
        <w:t>.</w:t>
      </w:r>
      <w:r w:rsidR="00FC27FA" w:rsidRPr="00F33F26">
        <w:rPr>
          <w:rFonts w:asciiTheme="minorHAnsi" w:hAnsiTheme="minorHAnsi" w:cstheme="minorHAnsi"/>
          <w:color w:val="000000"/>
          <w:szCs w:val="22"/>
        </w:rPr>
        <w:t xml:space="preserve"> </w:t>
      </w:r>
    </w:p>
    <w:p w14:paraId="2CB25E2D"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51D3A396" w14:textId="256F1B3D"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color w:val="000000"/>
          <w:szCs w:val="22"/>
        </w:rPr>
        <w:tab/>
      </w:r>
      <w:r w:rsidR="00765F2B" w:rsidRPr="00F33F26">
        <w:rPr>
          <w:rFonts w:asciiTheme="minorHAnsi" w:hAnsiTheme="minorHAnsi" w:cstheme="minorHAnsi"/>
          <w:color w:val="000000"/>
          <w:szCs w:val="22"/>
        </w:rPr>
        <w:t>4</w:t>
      </w:r>
      <w:r w:rsidRPr="00F33F26">
        <w:rPr>
          <w:rFonts w:asciiTheme="minorHAnsi" w:hAnsiTheme="minorHAnsi" w:cstheme="minorHAnsi"/>
          <w:color w:val="000000"/>
          <w:szCs w:val="22"/>
        </w:rPr>
        <w:t xml:space="preserve">.2.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 xml:space="preserve">The State Superintendent must receive the </w:t>
      </w:r>
      <w:r w:rsidR="00765F2B" w:rsidRPr="00F33F26">
        <w:rPr>
          <w:rFonts w:asciiTheme="minorHAnsi" w:hAnsiTheme="minorHAnsi" w:cstheme="minorHAnsi"/>
          <w:color w:val="000000"/>
          <w:szCs w:val="22"/>
        </w:rPr>
        <w:t xml:space="preserve">transfer application </w:t>
      </w:r>
      <w:r w:rsidRPr="00F33F26">
        <w:rPr>
          <w:rFonts w:asciiTheme="minorHAnsi" w:hAnsiTheme="minorHAnsi" w:cstheme="minorHAnsi"/>
          <w:color w:val="000000"/>
          <w:szCs w:val="22"/>
        </w:rPr>
        <w:t xml:space="preserve">appeal within 30 days of </w:t>
      </w:r>
      <w:r w:rsidR="005C4901" w:rsidRPr="00F33F26">
        <w:rPr>
          <w:rFonts w:asciiTheme="minorHAnsi" w:hAnsiTheme="minorHAnsi" w:cstheme="minorHAnsi"/>
          <w:color w:val="000000"/>
          <w:szCs w:val="22"/>
        </w:rPr>
        <w:t xml:space="preserve">the date </w:t>
      </w:r>
      <w:r w:rsidRPr="00F33F26">
        <w:rPr>
          <w:rFonts w:asciiTheme="minorHAnsi" w:hAnsiTheme="minorHAnsi" w:cstheme="minorHAnsi"/>
          <w:color w:val="000000"/>
          <w:szCs w:val="22"/>
        </w:rPr>
        <w:t xml:space="preserve">the </w:t>
      </w:r>
      <w:r w:rsidR="00765F2B" w:rsidRPr="00F33F26">
        <w:rPr>
          <w:rFonts w:asciiTheme="minorHAnsi" w:hAnsiTheme="minorHAnsi" w:cstheme="minorHAnsi"/>
          <w:color w:val="000000"/>
          <w:szCs w:val="22"/>
        </w:rPr>
        <w:t xml:space="preserve">receiving county denied the transfer application. </w:t>
      </w:r>
      <w:r w:rsidRPr="00F33F26">
        <w:rPr>
          <w:rFonts w:asciiTheme="minorHAnsi" w:hAnsiTheme="minorHAnsi" w:cstheme="minorHAnsi"/>
          <w:color w:val="000000"/>
          <w:szCs w:val="22"/>
        </w:rPr>
        <w:t xml:space="preserve"> </w:t>
      </w:r>
    </w:p>
    <w:p w14:paraId="3F379705"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52A97960" w14:textId="06B835B1"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color w:val="000000"/>
          <w:szCs w:val="22"/>
        </w:rPr>
        <w:tab/>
      </w:r>
      <w:r w:rsidR="00765F2B" w:rsidRPr="00F33F26">
        <w:rPr>
          <w:rFonts w:asciiTheme="minorHAnsi" w:hAnsiTheme="minorHAnsi" w:cstheme="minorHAnsi"/>
          <w:color w:val="000000"/>
          <w:szCs w:val="22"/>
        </w:rPr>
        <w:t>4</w:t>
      </w:r>
      <w:r w:rsidRPr="00F33F26">
        <w:rPr>
          <w:rFonts w:asciiTheme="minorHAnsi" w:hAnsiTheme="minorHAnsi" w:cstheme="minorHAnsi"/>
          <w:color w:val="000000"/>
          <w:szCs w:val="22"/>
        </w:rPr>
        <w:t xml:space="preserve">.3. </w:t>
      </w:r>
      <w:r w:rsidR="00B03D3F" w:rsidRPr="00F33F26">
        <w:rPr>
          <w:rFonts w:asciiTheme="minorHAnsi" w:hAnsiTheme="minorHAnsi" w:cstheme="minorHAnsi"/>
          <w:color w:val="000000"/>
          <w:szCs w:val="22"/>
        </w:rPr>
        <w:t xml:space="preserve"> </w:t>
      </w:r>
      <w:r w:rsidR="00765F2B" w:rsidRPr="00F33F26">
        <w:rPr>
          <w:rFonts w:asciiTheme="minorHAnsi" w:hAnsiTheme="minorHAnsi" w:cstheme="minorHAnsi"/>
          <w:color w:val="000000"/>
          <w:szCs w:val="22"/>
        </w:rPr>
        <w:t xml:space="preserve">The State Superintendent shall review the transfer application and the receiving county’s denial decision and may hold a hearing if warranted. </w:t>
      </w:r>
    </w:p>
    <w:p w14:paraId="4AA23A8E"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1531241B" w14:textId="5D090B00"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color w:val="000000"/>
          <w:szCs w:val="22"/>
        </w:rPr>
        <w:tab/>
      </w:r>
      <w:r w:rsidR="00765F2B" w:rsidRPr="00F33F26">
        <w:rPr>
          <w:rFonts w:asciiTheme="minorHAnsi" w:hAnsiTheme="minorHAnsi" w:cstheme="minorHAnsi"/>
          <w:color w:val="000000"/>
          <w:szCs w:val="22"/>
        </w:rPr>
        <w:t>4.4</w:t>
      </w:r>
      <w:r w:rsidRPr="00F33F26">
        <w:rPr>
          <w:rFonts w:asciiTheme="minorHAnsi" w:hAnsiTheme="minorHAnsi" w:cstheme="minorHAnsi"/>
          <w:color w:val="000000"/>
          <w:szCs w:val="22"/>
        </w:rPr>
        <w:t xml:space="preserve">.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 xml:space="preserve">The State Superintendent shall issue a decision </w:t>
      </w:r>
      <w:r w:rsidR="00765F2B" w:rsidRPr="00F33F26">
        <w:rPr>
          <w:rFonts w:asciiTheme="minorHAnsi" w:hAnsiTheme="minorHAnsi" w:cstheme="minorHAnsi"/>
          <w:color w:val="000000"/>
          <w:szCs w:val="22"/>
        </w:rPr>
        <w:t>on the appeal no later than five days prior to the start of a semester</w:t>
      </w:r>
      <w:r w:rsidR="000927FF" w:rsidRPr="00F33F26">
        <w:rPr>
          <w:rFonts w:asciiTheme="minorHAnsi" w:hAnsiTheme="minorHAnsi" w:cstheme="minorHAnsi"/>
          <w:color w:val="000000"/>
          <w:szCs w:val="22"/>
        </w:rPr>
        <w:t xml:space="preserve">. </w:t>
      </w:r>
      <w:r w:rsidR="00B03D3F" w:rsidRPr="00F33F26">
        <w:rPr>
          <w:rFonts w:asciiTheme="minorHAnsi" w:hAnsiTheme="minorHAnsi" w:cstheme="minorHAnsi"/>
          <w:color w:val="000000"/>
          <w:szCs w:val="22"/>
        </w:rPr>
        <w:t xml:space="preserve"> </w:t>
      </w:r>
      <w:r w:rsidR="000927FF" w:rsidRPr="00F33F26">
        <w:rPr>
          <w:rFonts w:asciiTheme="minorHAnsi" w:hAnsiTheme="minorHAnsi" w:cstheme="minorHAnsi"/>
          <w:color w:val="000000"/>
          <w:szCs w:val="22"/>
        </w:rPr>
        <w:t xml:space="preserve">If the transfer application appeal was not received in time for the State Superintendent to meet this deadline, the State Superintendent will issue a decision as soon as </w:t>
      </w:r>
      <w:r w:rsidR="000927FF" w:rsidRPr="00EF5773">
        <w:rPr>
          <w:rFonts w:asciiTheme="minorHAnsi" w:hAnsiTheme="minorHAnsi" w:cstheme="minorHAnsi"/>
          <w:color w:val="000000"/>
          <w:szCs w:val="22"/>
        </w:rPr>
        <w:t>practica</w:t>
      </w:r>
      <w:r w:rsidR="00FC416D" w:rsidRPr="00EF5773">
        <w:rPr>
          <w:rFonts w:asciiTheme="minorHAnsi" w:hAnsiTheme="minorHAnsi" w:cstheme="minorHAnsi"/>
          <w:color w:val="000000"/>
          <w:szCs w:val="22"/>
        </w:rPr>
        <w:t>b</w:t>
      </w:r>
      <w:r w:rsidR="000927FF" w:rsidRPr="00EF5773">
        <w:rPr>
          <w:rFonts w:asciiTheme="minorHAnsi" w:hAnsiTheme="minorHAnsi" w:cstheme="minorHAnsi"/>
          <w:color w:val="000000"/>
          <w:szCs w:val="22"/>
        </w:rPr>
        <w:t>ly</w:t>
      </w:r>
      <w:r w:rsidR="000927FF" w:rsidRPr="00F33F26">
        <w:rPr>
          <w:rFonts w:asciiTheme="minorHAnsi" w:hAnsiTheme="minorHAnsi" w:cstheme="minorHAnsi"/>
          <w:color w:val="000000"/>
          <w:szCs w:val="22"/>
        </w:rPr>
        <w:t xml:space="preserve"> possible. </w:t>
      </w:r>
    </w:p>
    <w:p w14:paraId="1942CBA5" w14:textId="77777777"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328B3662" w14:textId="016D2C22" w:rsidR="00FC27FA" w:rsidRPr="00F33F26" w:rsidRDefault="00FC27FA"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r>
      <w:r w:rsidR="00765F2B" w:rsidRPr="00F33F26">
        <w:rPr>
          <w:rFonts w:asciiTheme="minorHAnsi" w:hAnsiTheme="minorHAnsi" w:cstheme="minorHAnsi"/>
          <w:color w:val="000000"/>
          <w:szCs w:val="22"/>
        </w:rPr>
        <w:t>4.5</w:t>
      </w:r>
      <w:r w:rsidRPr="00F33F26">
        <w:rPr>
          <w:rFonts w:asciiTheme="minorHAnsi" w:hAnsiTheme="minorHAnsi" w:cstheme="minorHAnsi"/>
          <w:color w:val="000000"/>
          <w:szCs w:val="22"/>
        </w:rPr>
        <w:t xml:space="preserve">.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A decision issued by the State Superintendent shall be final.</w:t>
      </w:r>
    </w:p>
    <w:p w14:paraId="0C2FFCA9" w14:textId="27FC90A0" w:rsidR="000927FF" w:rsidRPr="00F33F26" w:rsidRDefault="000927FF"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36B3183F" w14:textId="3AB70C52" w:rsidR="000927FF" w:rsidRPr="00F33F26" w:rsidRDefault="000927FF"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b/>
          <w:szCs w:val="22"/>
        </w:rPr>
        <w:t>§126-189-5. Funding for Nonresident Students.</w:t>
      </w:r>
    </w:p>
    <w:p w14:paraId="0FB5EBE0" w14:textId="77777777" w:rsidR="000927FF" w:rsidRPr="00F33F26" w:rsidRDefault="000927FF"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5126B2B0" w14:textId="2074A7A4" w:rsidR="000927FF" w:rsidRPr="00F33F26" w:rsidRDefault="000927FF"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r w:rsidRPr="00F33F26">
        <w:rPr>
          <w:rFonts w:asciiTheme="minorHAnsi" w:hAnsiTheme="minorHAnsi" w:cstheme="minorHAnsi"/>
          <w:color w:val="000000"/>
          <w:szCs w:val="22"/>
        </w:rPr>
        <w:tab/>
        <w:t xml:space="preserve">5.1.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 xml:space="preserve">If a nonresident student begins attending school in the receiving county after the second month of the school year, the receiving county may issue, in the following fiscal year, an invoice to the sending county for the pro rata amount the receiving county would have received under the state basic foundation program had the nonresident student been included in the receiving county’s net enrollment for the prior year.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The sending county shall reimburse the receiving county the amount of the invoice.</w:t>
      </w:r>
    </w:p>
    <w:p w14:paraId="1F450A91" w14:textId="77777777" w:rsidR="000927FF" w:rsidRPr="00F33F26" w:rsidRDefault="000927FF"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szCs w:val="22"/>
        </w:rPr>
      </w:pPr>
    </w:p>
    <w:p w14:paraId="21B22558" w14:textId="355625A1" w:rsidR="00FC27FA" w:rsidRPr="00F33F26" w:rsidRDefault="000927FF"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t xml:space="preserve">5.2.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 xml:space="preserve">If a nonresident student begins attending school in the receiving county after the second month of the school year, the receiving county may issue, in the following fiscal year, an invoice to the sending county for the pro rata amount the receiving county would have received under aid to exceptional students had the nonresident student been included in the receiving county’s net enrollment for the prior year.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The sending county shall reimburse the receiving county the amount of the invoice.</w:t>
      </w:r>
    </w:p>
    <w:p w14:paraId="037A0041" w14:textId="7A68652C" w:rsidR="000927FF" w:rsidRPr="00F33F26" w:rsidRDefault="000927FF"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p>
    <w:p w14:paraId="11FE4598" w14:textId="0D5B6290" w:rsidR="000927FF" w:rsidRPr="00F33F26" w:rsidRDefault="000927FF" w:rsidP="00065BB2">
      <w:pPr>
        <w:widowControl w:val="0"/>
        <w:tabs>
          <w:tab w:val="left" w:pos="360"/>
          <w:tab w:val="left" w:pos="720"/>
          <w:tab w:val="left" w:pos="1080"/>
          <w:tab w:val="left" w:pos="1440"/>
          <w:tab w:val="left" w:pos="1800"/>
          <w:tab w:val="left" w:pos="1987"/>
          <w:tab w:val="left" w:pos="2160"/>
          <w:tab w:val="left" w:pos="2434"/>
          <w:tab w:val="left" w:pos="2707"/>
          <w:tab w:val="left" w:pos="2880"/>
        </w:tabs>
        <w:contextualSpacing/>
        <w:jc w:val="both"/>
        <w:rPr>
          <w:rFonts w:asciiTheme="minorHAnsi" w:hAnsiTheme="minorHAnsi" w:cstheme="minorHAnsi"/>
          <w:color w:val="000000"/>
          <w:szCs w:val="22"/>
        </w:rPr>
      </w:pPr>
      <w:r w:rsidRPr="00F33F26">
        <w:rPr>
          <w:rFonts w:asciiTheme="minorHAnsi" w:hAnsiTheme="minorHAnsi" w:cstheme="minorHAnsi"/>
          <w:color w:val="000000"/>
          <w:szCs w:val="22"/>
        </w:rPr>
        <w:tab/>
        <w:t>5.3.</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 xml:space="preserve"> If a nonresident </w:t>
      </w:r>
      <w:r w:rsidR="00B03D3F" w:rsidRPr="00F33F26">
        <w:rPr>
          <w:rFonts w:asciiTheme="minorHAnsi" w:hAnsiTheme="minorHAnsi" w:cstheme="minorHAnsi"/>
          <w:color w:val="000000"/>
          <w:szCs w:val="22"/>
        </w:rPr>
        <w:t>p</w:t>
      </w:r>
      <w:r w:rsidRPr="00F33F26">
        <w:rPr>
          <w:rFonts w:asciiTheme="minorHAnsi" w:hAnsiTheme="minorHAnsi" w:cstheme="minorHAnsi"/>
          <w:color w:val="000000"/>
          <w:szCs w:val="22"/>
        </w:rPr>
        <w:t>re-</w:t>
      </w:r>
      <w:r w:rsidR="00B03D3F" w:rsidRPr="00F33F26">
        <w:rPr>
          <w:rFonts w:asciiTheme="minorHAnsi" w:hAnsiTheme="minorHAnsi" w:cstheme="minorHAnsi"/>
          <w:color w:val="000000"/>
          <w:szCs w:val="22"/>
        </w:rPr>
        <w:t>k</w:t>
      </w:r>
      <w:r w:rsidRPr="00F33F26">
        <w:rPr>
          <w:rFonts w:asciiTheme="minorHAnsi" w:hAnsiTheme="minorHAnsi" w:cstheme="minorHAnsi"/>
          <w:color w:val="000000"/>
          <w:szCs w:val="22"/>
        </w:rPr>
        <w:t xml:space="preserve"> student begins attending school in the receiving county after the child count of exceptional students is certified for a school year, the receiving county may issue, in the following fiscal year, an invoice to the sending county for the pro rata amount the receiving county would have received under aid to exceptional students had the nonresident student been included in the receiving county’s net enrollment for the prior year. </w:t>
      </w:r>
      <w:r w:rsidR="00B03D3F" w:rsidRPr="00F33F26">
        <w:rPr>
          <w:rFonts w:asciiTheme="minorHAnsi" w:hAnsiTheme="minorHAnsi" w:cstheme="minorHAnsi"/>
          <w:color w:val="000000"/>
          <w:szCs w:val="22"/>
        </w:rPr>
        <w:t xml:space="preserve"> </w:t>
      </w:r>
      <w:r w:rsidRPr="00F33F26">
        <w:rPr>
          <w:rFonts w:asciiTheme="minorHAnsi" w:hAnsiTheme="minorHAnsi" w:cstheme="minorHAnsi"/>
          <w:color w:val="000000"/>
          <w:szCs w:val="22"/>
        </w:rPr>
        <w:t>The sending county shall reimburse the receiving county the amount of the invoice.</w:t>
      </w:r>
    </w:p>
    <w:p w14:paraId="5FAF7911" w14:textId="5F8025E6" w:rsidR="00FC27FA" w:rsidRPr="00F33F26" w:rsidRDefault="00FC27FA" w:rsidP="00065BB2">
      <w:pPr>
        <w:widowControl w:val="0"/>
        <w:tabs>
          <w:tab w:val="left" w:pos="360"/>
          <w:tab w:val="left" w:pos="2707"/>
        </w:tabs>
        <w:contextualSpacing/>
        <w:jc w:val="both"/>
        <w:rPr>
          <w:rFonts w:asciiTheme="minorHAnsi" w:hAnsiTheme="minorHAnsi" w:cstheme="minorHAnsi"/>
          <w:szCs w:val="22"/>
        </w:rPr>
      </w:pPr>
      <w:r w:rsidRPr="00F33F26">
        <w:rPr>
          <w:rFonts w:asciiTheme="minorHAnsi" w:hAnsiTheme="minorHAnsi" w:cstheme="minorHAnsi"/>
          <w:color w:val="000000"/>
          <w:szCs w:val="22"/>
        </w:rPr>
        <w:tab/>
      </w:r>
      <w:r w:rsidR="00D83735" w:rsidRPr="00F33F26">
        <w:rPr>
          <w:rFonts w:asciiTheme="minorHAnsi" w:hAnsiTheme="minorHAnsi" w:cstheme="minorHAnsi"/>
          <w:color w:val="000000"/>
          <w:szCs w:val="22"/>
        </w:rPr>
        <w:tab/>
      </w:r>
    </w:p>
    <w:p w14:paraId="3304E0BE" w14:textId="4CD21C90" w:rsidR="00B03D3F" w:rsidRPr="00F33F26" w:rsidRDefault="00B03D3F" w:rsidP="00065BB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Cs w:val="22"/>
        </w:rPr>
      </w:pPr>
      <w:r w:rsidRPr="00F33F26">
        <w:rPr>
          <w:rFonts w:asciiTheme="minorHAnsi" w:hAnsiTheme="minorHAnsi" w:cstheme="minorHAnsi"/>
          <w:b/>
          <w:szCs w:val="22"/>
        </w:rPr>
        <w:t>§126-189-6.  Severability.</w:t>
      </w:r>
    </w:p>
    <w:p w14:paraId="5D2EA2FA" w14:textId="77777777" w:rsidR="00B03D3F" w:rsidRPr="00F33F26" w:rsidRDefault="00B03D3F" w:rsidP="00065BB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Cs w:val="22"/>
        </w:rPr>
      </w:pPr>
    </w:p>
    <w:p w14:paraId="612F355F" w14:textId="6A00C7FD" w:rsidR="00B03D3F" w:rsidRPr="00F33F26" w:rsidRDefault="00B03D3F" w:rsidP="00065BB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Cs w:val="22"/>
        </w:rPr>
      </w:pPr>
      <w:r w:rsidRPr="00F33F26">
        <w:rPr>
          <w:rFonts w:asciiTheme="minorHAnsi" w:hAnsiTheme="minorHAnsi" w:cstheme="minorHAnsi"/>
          <w:szCs w:val="22"/>
        </w:rPr>
        <w:tab/>
        <w:t>6.1.  If any provision of this policy or the application thereof to any person or circumstances is held invalid, such invalidity shall not affect other provisions or applications of this policy.</w:t>
      </w:r>
    </w:p>
    <w:p w14:paraId="5E254D3F" w14:textId="77777777" w:rsidR="00FC27FA" w:rsidRPr="00F33F26" w:rsidRDefault="00FC27FA" w:rsidP="00065BB2">
      <w:pPr>
        <w:tabs>
          <w:tab w:val="left" w:pos="360"/>
          <w:tab w:val="left" w:pos="1080"/>
          <w:tab w:val="left" w:pos="1800"/>
        </w:tabs>
        <w:rPr>
          <w:rFonts w:asciiTheme="minorHAnsi" w:hAnsiTheme="minorHAnsi" w:cstheme="minorHAnsi"/>
          <w:szCs w:val="22"/>
        </w:rPr>
      </w:pPr>
    </w:p>
    <w:sectPr w:rsidR="00FC27FA" w:rsidRPr="00F33F26" w:rsidSect="00CF5DA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B9932" w14:textId="77777777" w:rsidR="008D6C99" w:rsidRDefault="008D6C99" w:rsidP="00B03D3F">
      <w:r>
        <w:separator/>
      </w:r>
    </w:p>
  </w:endnote>
  <w:endnote w:type="continuationSeparator" w:id="0">
    <w:p w14:paraId="0AE18D6B" w14:textId="77777777" w:rsidR="008D6C99" w:rsidRDefault="008D6C99" w:rsidP="00B03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3041396"/>
      <w:docPartObj>
        <w:docPartGallery w:val="Page Numbers (Bottom of Page)"/>
        <w:docPartUnique/>
      </w:docPartObj>
    </w:sdtPr>
    <w:sdtEndPr>
      <w:rPr>
        <w:noProof/>
      </w:rPr>
    </w:sdtEndPr>
    <w:sdtContent>
      <w:p w14:paraId="6AED4E80" w14:textId="105EFB26" w:rsidR="00B03D3F" w:rsidRDefault="00B03D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B0D3AE" w14:textId="77777777" w:rsidR="00B03D3F" w:rsidRDefault="00B03D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105295" w14:textId="77777777" w:rsidR="008D6C99" w:rsidRDefault="008D6C99" w:rsidP="00B03D3F">
      <w:r>
        <w:separator/>
      </w:r>
    </w:p>
  </w:footnote>
  <w:footnote w:type="continuationSeparator" w:id="0">
    <w:p w14:paraId="34DE8A47" w14:textId="77777777" w:rsidR="008D6C99" w:rsidRDefault="008D6C99" w:rsidP="00B03D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F9117" w14:textId="7C70523E" w:rsidR="00B03D3F" w:rsidRPr="00B03D3F" w:rsidRDefault="00B03D3F" w:rsidP="00B03D3F">
    <w:pPr>
      <w:pStyle w:val="Header"/>
      <w:jc w:val="center"/>
      <w:rPr>
        <w:b/>
        <w:bCs/>
      </w:rPr>
    </w:pPr>
    <w:r w:rsidRPr="00B03D3F">
      <w:rPr>
        <w:b/>
        <w:bCs/>
      </w:rPr>
      <w:t>126CSR189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7FA"/>
    <w:rsid w:val="00065BB2"/>
    <w:rsid w:val="000927FF"/>
    <w:rsid w:val="001403A3"/>
    <w:rsid w:val="001D1765"/>
    <w:rsid w:val="00220BD2"/>
    <w:rsid w:val="00222749"/>
    <w:rsid w:val="002361A3"/>
    <w:rsid w:val="003D7564"/>
    <w:rsid w:val="0050068A"/>
    <w:rsid w:val="005C4901"/>
    <w:rsid w:val="005D0BDF"/>
    <w:rsid w:val="006404A9"/>
    <w:rsid w:val="0071185C"/>
    <w:rsid w:val="00757494"/>
    <w:rsid w:val="00765F2B"/>
    <w:rsid w:val="00795236"/>
    <w:rsid w:val="008D6C99"/>
    <w:rsid w:val="009223AB"/>
    <w:rsid w:val="00B03D3F"/>
    <w:rsid w:val="00C01185"/>
    <w:rsid w:val="00C13865"/>
    <w:rsid w:val="00CF5DA1"/>
    <w:rsid w:val="00D83735"/>
    <w:rsid w:val="00DB1E95"/>
    <w:rsid w:val="00DF35C2"/>
    <w:rsid w:val="00EA4BCF"/>
    <w:rsid w:val="00EF5773"/>
    <w:rsid w:val="00F33F26"/>
    <w:rsid w:val="00FC27FA"/>
    <w:rsid w:val="00FC4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45D263"/>
  <w15:chartTrackingRefBased/>
  <w15:docId w15:val="{F3D729F5-36CC-47E4-9D60-92E51859F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7FA"/>
    <w:pPr>
      <w:spacing w:after="0" w:line="240" w:lineRule="auto"/>
    </w:pPr>
    <w:rPr>
      <w:rFonts w:ascii="Calibri" w:eastAsia="Times New Roman" w:hAnsi="Calibri"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27FA"/>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B03D3F"/>
    <w:pPr>
      <w:tabs>
        <w:tab w:val="center" w:pos="4680"/>
        <w:tab w:val="right" w:pos="9360"/>
      </w:tabs>
    </w:pPr>
  </w:style>
  <w:style w:type="character" w:customStyle="1" w:styleId="HeaderChar">
    <w:name w:val="Header Char"/>
    <w:basedOn w:val="DefaultParagraphFont"/>
    <w:link w:val="Header"/>
    <w:uiPriority w:val="99"/>
    <w:rsid w:val="00B03D3F"/>
    <w:rPr>
      <w:rFonts w:ascii="Calibri" w:eastAsia="Times New Roman" w:hAnsi="Calibri" w:cs="Times New Roman"/>
      <w:szCs w:val="20"/>
    </w:rPr>
  </w:style>
  <w:style w:type="paragraph" w:styleId="Footer">
    <w:name w:val="footer"/>
    <w:basedOn w:val="Normal"/>
    <w:link w:val="FooterChar"/>
    <w:uiPriority w:val="99"/>
    <w:unhideWhenUsed/>
    <w:rsid w:val="00B03D3F"/>
    <w:pPr>
      <w:tabs>
        <w:tab w:val="center" w:pos="4680"/>
        <w:tab w:val="right" w:pos="9360"/>
      </w:tabs>
    </w:pPr>
  </w:style>
  <w:style w:type="character" w:customStyle="1" w:styleId="FooterChar">
    <w:name w:val="Footer Char"/>
    <w:basedOn w:val="DefaultParagraphFont"/>
    <w:link w:val="Footer"/>
    <w:uiPriority w:val="99"/>
    <w:rsid w:val="00B03D3F"/>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487872">
      <w:bodyDiv w:val="1"/>
      <w:marLeft w:val="0"/>
      <w:marRight w:val="0"/>
      <w:marTop w:val="0"/>
      <w:marBottom w:val="0"/>
      <w:divBdr>
        <w:top w:val="none" w:sz="0" w:space="0" w:color="auto"/>
        <w:left w:val="none" w:sz="0" w:space="0" w:color="auto"/>
        <w:bottom w:val="none" w:sz="0" w:space="0" w:color="auto"/>
        <w:right w:val="none" w:sz="0" w:space="0" w:color="auto"/>
      </w:divBdr>
    </w:div>
    <w:div w:id="128608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1D681260CCC142B7517DEF36AE039E" ma:contentTypeVersion="12" ma:contentTypeDescription="Create a new document." ma:contentTypeScope="" ma:versionID="ece6031af78a89b707b1de30d43472e0">
  <xsd:schema xmlns:xsd="http://www.w3.org/2001/XMLSchema" xmlns:xs="http://www.w3.org/2001/XMLSchema" xmlns:p="http://schemas.microsoft.com/office/2006/metadata/properties" xmlns:ns3="f9f4ef08-af69-4ff8-b31c-9c63c23c3784" xmlns:ns4="00e80c51-7158-4aa3-bd25-3f89c2969d4e" targetNamespace="http://schemas.microsoft.com/office/2006/metadata/properties" ma:root="true" ma:fieldsID="2c825b485928b2801f3eaff34a1622b8" ns3:_="" ns4:_="">
    <xsd:import namespace="f9f4ef08-af69-4ff8-b31c-9c63c23c3784"/>
    <xsd:import namespace="00e80c51-7158-4aa3-bd25-3f89c2969d4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ef08-af69-4ff8-b31c-9c63c23c37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80c51-7158-4aa3-bd25-3f89c2969d4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75718E-DF60-4EAD-9CD1-C3E258BDC614}">
  <ds:schemaRefs>
    <ds:schemaRef ds:uri="http://schemas.microsoft.com/sharepoint/v3/contenttype/forms"/>
  </ds:schemaRefs>
</ds:datastoreItem>
</file>

<file path=customXml/itemProps2.xml><?xml version="1.0" encoding="utf-8"?>
<ds:datastoreItem xmlns:ds="http://schemas.openxmlformats.org/officeDocument/2006/customXml" ds:itemID="{2366DA64-06D6-4F3D-B59C-DF4B287DC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ef08-af69-4ff8-b31c-9c63c23c3784"/>
    <ds:schemaRef ds:uri="00e80c51-7158-4aa3-bd25-3f89c2969d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DC522B-9A1E-4606-BDE1-092B29B984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Stewart</dc:creator>
  <cp:keywords/>
  <dc:description/>
  <cp:lastModifiedBy>Virginia Harris</cp:lastModifiedBy>
  <cp:revision>20</cp:revision>
  <dcterms:created xsi:type="dcterms:W3CDTF">2021-08-02T17:58:00Z</dcterms:created>
  <dcterms:modified xsi:type="dcterms:W3CDTF">2021-10-12T18:40:00Z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0x0101000C1D681260CCC142B7517DEF36AE039E</vt:lpwstr>
  </property>
</Properties>
</file>