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77F7" w:rsidRPr="00F377F7" w:rsidRDefault="00F377F7" w:rsidP="00F377F7">
      <w:pPr>
        <w:jc w:val="center"/>
        <w:rPr>
          <w:b/>
          <w:sz w:val="22"/>
          <w:szCs w:val="22"/>
        </w:rPr>
      </w:pPr>
      <w:r w:rsidRPr="00F377F7">
        <w:rPr>
          <w:b/>
          <w:sz w:val="22"/>
          <w:szCs w:val="22"/>
        </w:rPr>
        <w:t>West Virginia State Election Commission</w:t>
      </w:r>
      <w:bookmarkStart w:id="0" w:name="_GoBack"/>
      <w:bookmarkEnd w:id="0"/>
    </w:p>
    <w:p w:rsidR="00F377F7" w:rsidRPr="00F377F7" w:rsidRDefault="00F377F7" w:rsidP="00F377F7">
      <w:pPr>
        <w:jc w:val="center"/>
        <w:rPr>
          <w:b/>
          <w:sz w:val="22"/>
          <w:szCs w:val="22"/>
        </w:rPr>
      </w:pPr>
      <w:r w:rsidRPr="00F377F7">
        <w:rPr>
          <w:b/>
          <w:sz w:val="22"/>
          <w:szCs w:val="22"/>
        </w:rPr>
        <w:t xml:space="preserve">Response to Public Comment </w:t>
      </w:r>
    </w:p>
    <w:p w:rsidR="00F377F7" w:rsidRPr="00F377F7" w:rsidRDefault="00F377F7" w:rsidP="00F377F7">
      <w:pPr>
        <w:rPr>
          <w:b/>
          <w:sz w:val="22"/>
          <w:szCs w:val="22"/>
        </w:rPr>
      </w:pPr>
    </w:p>
    <w:p w:rsidR="00F377F7" w:rsidRPr="00F377F7" w:rsidRDefault="00F377F7" w:rsidP="00F377F7">
      <w:pPr>
        <w:rPr>
          <w:sz w:val="22"/>
          <w:szCs w:val="22"/>
        </w:rPr>
      </w:pPr>
      <w:r w:rsidRPr="00F377F7">
        <w:rPr>
          <w:sz w:val="22"/>
          <w:szCs w:val="22"/>
        </w:rPr>
        <w:t>Rule:</w:t>
      </w:r>
      <w:r w:rsidRPr="00F377F7">
        <w:rPr>
          <w:sz w:val="22"/>
          <w:szCs w:val="22"/>
        </w:rPr>
        <w:tab/>
      </w:r>
      <w:r w:rsidRPr="00F377F7">
        <w:rPr>
          <w:sz w:val="22"/>
          <w:szCs w:val="22"/>
        </w:rPr>
        <w:tab/>
      </w:r>
      <w:r w:rsidRPr="00F377F7">
        <w:rPr>
          <w:sz w:val="22"/>
          <w:szCs w:val="22"/>
        </w:rPr>
        <w:tab/>
        <w:t xml:space="preserve">CSR 146-03. Regulation of Campaign Finance </w:t>
      </w:r>
    </w:p>
    <w:p w:rsidR="00E44877" w:rsidRDefault="00E44877" w:rsidP="00F377F7">
      <w:pPr>
        <w:rPr>
          <w:sz w:val="22"/>
          <w:szCs w:val="22"/>
        </w:rPr>
      </w:pPr>
    </w:p>
    <w:p w:rsidR="00F377F7" w:rsidRPr="00F377F7" w:rsidRDefault="00F377F7" w:rsidP="00F377F7">
      <w:pPr>
        <w:rPr>
          <w:sz w:val="22"/>
          <w:szCs w:val="22"/>
        </w:rPr>
      </w:pPr>
      <w:r w:rsidRPr="00F377F7">
        <w:rPr>
          <w:sz w:val="22"/>
          <w:szCs w:val="22"/>
        </w:rPr>
        <w:t>Type:</w:t>
      </w:r>
      <w:r w:rsidRPr="00F377F7">
        <w:rPr>
          <w:sz w:val="22"/>
          <w:szCs w:val="22"/>
        </w:rPr>
        <w:tab/>
      </w:r>
      <w:r w:rsidRPr="00F377F7">
        <w:rPr>
          <w:sz w:val="22"/>
          <w:szCs w:val="22"/>
        </w:rPr>
        <w:tab/>
      </w:r>
      <w:r w:rsidRPr="00F377F7">
        <w:rPr>
          <w:sz w:val="22"/>
          <w:szCs w:val="22"/>
        </w:rPr>
        <w:tab/>
        <w:t>Legislative</w:t>
      </w:r>
    </w:p>
    <w:p w:rsidR="00E44877" w:rsidRDefault="00E44877" w:rsidP="00F377F7">
      <w:pPr>
        <w:rPr>
          <w:sz w:val="22"/>
          <w:szCs w:val="22"/>
        </w:rPr>
      </w:pPr>
    </w:p>
    <w:p w:rsidR="00F377F7" w:rsidRPr="00F377F7" w:rsidRDefault="00F377F7" w:rsidP="00F377F7">
      <w:pPr>
        <w:rPr>
          <w:sz w:val="22"/>
          <w:szCs w:val="22"/>
        </w:rPr>
      </w:pPr>
      <w:r w:rsidRPr="00F377F7">
        <w:rPr>
          <w:sz w:val="22"/>
          <w:szCs w:val="22"/>
        </w:rPr>
        <w:t>Comment Period:</w:t>
      </w:r>
      <w:r w:rsidRPr="00F377F7">
        <w:rPr>
          <w:sz w:val="22"/>
          <w:szCs w:val="22"/>
        </w:rPr>
        <w:tab/>
        <w:t>June 6, 2019 – July 10, 2019</w:t>
      </w:r>
    </w:p>
    <w:p w:rsidR="00E44877" w:rsidRDefault="00E44877" w:rsidP="00F377F7">
      <w:pPr>
        <w:ind w:left="2160" w:hanging="2160"/>
        <w:rPr>
          <w:sz w:val="22"/>
          <w:szCs w:val="22"/>
        </w:rPr>
      </w:pPr>
    </w:p>
    <w:p w:rsidR="00CF3C71" w:rsidRPr="00F377F7" w:rsidRDefault="00E35431" w:rsidP="00F377F7">
      <w:pPr>
        <w:ind w:left="2160" w:hanging="2160"/>
        <w:rPr>
          <w:sz w:val="22"/>
          <w:szCs w:val="22"/>
        </w:rPr>
      </w:pPr>
      <w:r w:rsidRPr="00F377F7">
        <w:rPr>
          <w:sz w:val="22"/>
          <w:szCs w:val="22"/>
        </w:rPr>
        <w:t>Format:</w:t>
      </w:r>
      <w:r w:rsidR="00F377F7">
        <w:rPr>
          <w:sz w:val="22"/>
          <w:szCs w:val="22"/>
        </w:rPr>
        <w:tab/>
      </w:r>
      <w:r w:rsidRPr="00F377F7">
        <w:rPr>
          <w:sz w:val="22"/>
          <w:szCs w:val="22"/>
        </w:rPr>
        <w:t xml:space="preserve">The State Election Commission (SEC) received several </w:t>
      </w:r>
      <w:r w:rsidR="003B3FF0" w:rsidRPr="00F377F7">
        <w:rPr>
          <w:sz w:val="22"/>
          <w:szCs w:val="22"/>
        </w:rPr>
        <w:t xml:space="preserve">public </w:t>
      </w:r>
      <w:r w:rsidRPr="00F377F7">
        <w:rPr>
          <w:sz w:val="22"/>
          <w:szCs w:val="22"/>
        </w:rPr>
        <w:t>comments regarding CSR 146-03</w:t>
      </w:r>
      <w:r w:rsidR="00F377F7">
        <w:rPr>
          <w:sz w:val="22"/>
          <w:szCs w:val="22"/>
        </w:rPr>
        <w:t>, t</w:t>
      </w:r>
      <w:r w:rsidRPr="00F377F7">
        <w:rPr>
          <w:sz w:val="22"/>
          <w:szCs w:val="22"/>
        </w:rPr>
        <w:t xml:space="preserve">he vast majority </w:t>
      </w:r>
      <w:r w:rsidR="00F377F7">
        <w:rPr>
          <w:sz w:val="22"/>
          <w:szCs w:val="22"/>
        </w:rPr>
        <w:t xml:space="preserve">of which </w:t>
      </w:r>
      <w:r w:rsidR="003B3FF0" w:rsidRPr="00F377F7">
        <w:rPr>
          <w:sz w:val="22"/>
          <w:szCs w:val="22"/>
        </w:rPr>
        <w:t>were i</w:t>
      </w:r>
      <w:r w:rsidR="000A7128" w:rsidRPr="00F377F7">
        <w:rPr>
          <w:sz w:val="22"/>
          <w:szCs w:val="22"/>
        </w:rPr>
        <w:t>dentical</w:t>
      </w:r>
      <w:r w:rsidR="003B3FF0" w:rsidRPr="00F377F7">
        <w:rPr>
          <w:sz w:val="22"/>
          <w:szCs w:val="22"/>
        </w:rPr>
        <w:t>.</w:t>
      </w:r>
      <w:r w:rsidR="00F377F7">
        <w:rPr>
          <w:sz w:val="22"/>
          <w:szCs w:val="22"/>
        </w:rPr>
        <w:t xml:space="preserve"> T</w:t>
      </w:r>
      <w:r w:rsidR="003B3FF0" w:rsidRPr="00F377F7">
        <w:rPr>
          <w:sz w:val="22"/>
          <w:szCs w:val="22"/>
        </w:rPr>
        <w:t>o avoid duplicity</w:t>
      </w:r>
      <w:r w:rsidR="00F377F7">
        <w:rPr>
          <w:sz w:val="22"/>
          <w:szCs w:val="22"/>
        </w:rPr>
        <w:t xml:space="preserve">, </w:t>
      </w:r>
      <w:r w:rsidR="0041213D" w:rsidRPr="00F377F7">
        <w:rPr>
          <w:sz w:val="22"/>
          <w:szCs w:val="22"/>
        </w:rPr>
        <w:t xml:space="preserve">the SEC consolidated the duplicative </w:t>
      </w:r>
      <w:r w:rsidR="003B3FF0" w:rsidRPr="00F377F7">
        <w:rPr>
          <w:sz w:val="22"/>
          <w:szCs w:val="22"/>
        </w:rPr>
        <w:t>comments</w:t>
      </w:r>
      <w:r w:rsidR="00E44877">
        <w:rPr>
          <w:sz w:val="22"/>
          <w:szCs w:val="22"/>
        </w:rPr>
        <w:t xml:space="preserve"> beginning on Page 13 of this document</w:t>
      </w:r>
      <w:r w:rsidR="003B3FF0" w:rsidRPr="00F377F7">
        <w:rPr>
          <w:sz w:val="22"/>
          <w:szCs w:val="22"/>
        </w:rPr>
        <w:t xml:space="preserve"> </w:t>
      </w:r>
      <w:r w:rsidR="00F377F7">
        <w:rPr>
          <w:sz w:val="22"/>
          <w:szCs w:val="22"/>
        </w:rPr>
        <w:t>and responded to each</w:t>
      </w:r>
      <w:r w:rsidR="003B3FF0" w:rsidRPr="00F377F7">
        <w:rPr>
          <w:sz w:val="22"/>
          <w:szCs w:val="22"/>
        </w:rPr>
        <w:t xml:space="preserve">. </w:t>
      </w:r>
    </w:p>
    <w:p w:rsidR="00E44877" w:rsidRDefault="00E44877" w:rsidP="00F377F7">
      <w:pPr>
        <w:pBdr>
          <w:bottom w:val="single" w:sz="6" w:space="1" w:color="auto"/>
        </w:pBdr>
        <w:ind w:left="2160" w:hanging="2160"/>
        <w:rPr>
          <w:sz w:val="22"/>
          <w:szCs w:val="22"/>
        </w:rPr>
      </w:pPr>
    </w:p>
    <w:p w:rsidR="00F377F7" w:rsidRPr="00F377F7" w:rsidRDefault="00F377F7" w:rsidP="00F377F7">
      <w:pPr>
        <w:pBdr>
          <w:bottom w:val="single" w:sz="6" w:space="1" w:color="auto"/>
        </w:pBdr>
        <w:ind w:left="2160" w:hanging="2160"/>
        <w:rPr>
          <w:sz w:val="22"/>
          <w:szCs w:val="22"/>
        </w:rPr>
      </w:pPr>
      <w:proofErr w:type="gramStart"/>
      <w:r>
        <w:rPr>
          <w:sz w:val="22"/>
          <w:szCs w:val="22"/>
        </w:rPr>
        <w:t>Commenters:</w:t>
      </w:r>
      <w:r w:rsidRPr="00F377F7">
        <w:rPr>
          <w:sz w:val="22"/>
          <w:szCs w:val="22"/>
        </w:rPr>
        <w:t xml:space="preserve"> </w:t>
      </w:r>
      <w:r>
        <w:rPr>
          <w:sz w:val="22"/>
          <w:szCs w:val="22"/>
        </w:rPr>
        <w:tab/>
      </w:r>
      <w:r w:rsidR="006A5DE9" w:rsidRPr="00F377F7">
        <w:rPr>
          <w:sz w:val="22"/>
          <w:szCs w:val="22"/>
        </w:rPr>
        <w:t>Jude Binder</w:t>
      </w:r>
      <w:r w:rsidR="006A5DE9">
        <w:rPr>
          <w:sz w:val="22"/>
          <w:szCs w:val="22"/>
        </w:rPr>
        <w:t xml:space="preserve">, </w:t>
      </w:r>
      <w:r w:rsidR="006A5DE9" w:rsidRPr="00F377F7">
        <w:rPr>
          <w:sz w:val="22"/>
          <w:szCs w:val="22"/>
        </w:rPr>
        <w:t xml:space="preserve">David </w:t>
      </w:r>
      <w:proofErr w:type="spellStart"/>
      <w:r w:rsidR="006A5DE9" w:rsidRPr="00F377F7">
        <w:rPr>
          <w:sz w:val="22"/>
          <w:szCs w:val="22"/>
        </w:rPr>
        <w:t>Bott</w:t>
      </w:r>
      <w:proofErr w:type="spellEnd"/>
      <w:r w:rsidR="006A5DE9">
        <w:rPr>
          <w:sz w:val="22"/>
          <w:szCs w:val="22"/>
        </w:rPr>
        <w:t xml:space="preserve">, </w:t>
      </w:r>
      <w:r w:rsidRPr="00F377F7">
        <w:rPr>
          <w:sz w:val="22"/>
          <w:szCs w:val="22"/>
        </w:rPr>
        <w:t>Sherry Breeden</w:t>
      </w:r>
      <w:r>
        <w:rPr>
          <w:sz w:val="22"/>
          <w:szCs w:val="22"/>
        </w:rPr>
        <w:t xml:space="preserve">, </w:t>
      </w:r>
      <w:r w:rsidRPr="00F377F7">
        <w:rPr>
          <w:sz w:val="22"/>
          <w:szCs w:val="22"/>
        </w:rPr>
        <w:t>Bernard Burnside</w:t>
      </w:r>
      <w:r>
        <w:rPr>
          <w:sz w:val="22"/>
          <w:szCs w:val="22"/>
        </w:rPr>
        <w:t xml:space="preserve">, </w:t>
      </w:r>
      <w:r w:rsidRPr="00F377F7">
        <w:rPr>
          <w:sz w:val="22"/>
          <w:szCs w:val="22"/>
        </w:rPr>
        <w:t xml:space="preserve">Donald </w:t>
      </w:r>
      <w:proofErr w:type="spellStart"/>
      <w:r w:rsidRPr="00F377F7">
        <w:rPr>
          <w:sz w:val="22"/>
          <w:szCs w:val="22"/>
        </w:rPr>
        <w:t>Criss</w:t>
      </w:r>
      <w:proofErr w:type="spellEnd"/>
      <w:r>
        <w:rPr>
          <w:sz w:val="22"/>
          <w:szCs w:val="22"/>
        </w:rPr>
        <w:t xml:space="preserve">, Aileen </w:t>
      </w:r>
      <w:proofErr w:type="spellStart"/>
      <w:r>
        <w:rPr>
          <w:sz w:val="22"/>
          <w:szCs w:val="22"/>
        </w:rPr>
        <w:t>Curfman</w:t>
      </w:r>
      <w:proofErr w:type="spellEnd"/>
      <w:r>
        <w:rPr>
          <w:sz w:val="22"/>
          <w:szCs w:val="22"/>
        </w:rPr>
        <w:t xml:space="preserve">, </w:t>
      </w:r>
      <w:r w:rsidRPr="00F377F7">
        <w:rPr>
          <w:sz w:val="22"/>
          <w:szCs w:val="22"/>
        </w:rPr>
        <w:t>William Dawson</w:t>
      </w:r>
      <w:r>
        <w:rPr>
          <w:sz w:val="22"/>
          <w:szCs w:val="22"/>
        </w:rPr>
        <w:t xml:space="preserve">, </w:t>
      </w:r>
      <w:r w:rsidRPr="00F377F7">
        <w:rPr>
          <w:sz w:val="22"/>
          <w:szCs w:val="22"/>
        </w:rPr>
        <w:t>Taylor Don</w:t>
      </w:r>
      <w:r>
        <w:rPr>
          <w:sz w:val="22"/>
          <w:szCs w:val="22"/>
        </w:rPr>
        <w:t xml:space="preserve">, </w:t>
      </w:r>
      <w:r w:rsidRPr="00F377F7">
        <w:rPr>
          <w:sz w:val="22"/>
          <w:szCs w:val="22"/>
        </w:rPr>
        <w:t>Cynthia Ellis</w:t>
      </w:r>
      <w:r>
        <w:rPr>
          <w:sz w:val="22"/>
          <w:szCs w:val="22"/>
        </w:rPr>
        <w:t xml:space="preserve">, </w:t>
      </w:r>
      <w:r w:rsidR="006A5DE9" w:rsidRPr="00F377F7">
        <w:rPr>
          <w:sz w:val="22"/>
          <w:szCs w:val="22"/>
        </w:rPr>
        <w:t>Heidi Evans</w:t>
      </w:r>
      <w:r w:rsidR="006A5DE9">
        <w:rPr>
          <w:sz w:val="22"/>
          <w:szCs w:val="22"/>
        </w:rPr>
        <w:t xml:space="preserve">, </w:t>
      </w:r>
      <w:r w:rsidRPr="00F377F7">
        <w:rPr>
          <w:sz w:val="22"/>
          <w:szCs w:val="22"/>
        </w:rPr>
        <w:t>Myrna Fox</w:t>
      </w:r>
      <w:r>
        <w:rPr>
          <w:sz w:val="22"/>
          <w:szCs w:val="22"/>
        </w:rPr>
        <w:t xml:space="preserve">, </w:t>
      </w:r>
      <w:r w:rsidRPr="00F377F7">
        <w:rPr>
          <w:sz w:val="22"/>
          <w:szCs w:val="22"/>
        </w:rPr>
        <w:t>William Fox</w:t>
      </w:r>
      <w:r>
        <w:rPr>
          <w:sz w:val="22"/>
          <w:szCs w:val="22"/>
        </w:rPr>
        <w:t>,</w:t>
      </w:r>
      <w:r w:rsidRPr="00F377F7">
        <w:rPr>
          <w:sz w:val="22"/>
          <w:szCs w:val="22"/>
        </w:rPr>
        <w:t xml:space="preserve"> </w:t>
      </w:r>
      <w:r w:rsidR="006A5DE9" w:rsidRPr="00F377F7">
        <w:rPr>
          <w:sz w:val="22"/>
          <w:szCs w:val="22"/>
        </w:rPr>
        <w:t>Linda Frame</w:t>
      </w:r>
      <w:r w:rsidR="006A5DE9">
        <w:rPr>
          <w:sz w:val="22"/>
          <w:szCs w:val="22"/>
        </w:rPr>
        <w:t xml:space="preserve">, </w:t>
      </w:r>
      <w:r w:rsidR="006A5DE9" w:rsidRPr="00F377F7">
        <w:rPr>
          <w:sz w:val="22"/>
          <w:szCs w:val="22"/>
        </w:rPr>
        <w:t xml:space="preserve">Charlotte </w:t>
      </w:r>
      <w:proofErr w:type="spellStart"/>
      <w:r w:rsidR="006A5DE9" w:rsidRPr="00F377F7">
        <w:rPr>
          <w:sz w:val="22"/>
          <w:szCs w:val="22"/>
        </w:rPr>
        <w:t>Fremaux</w:t>
      </w:r>
      <w:proofErr w:type="spellEnd"/>
      <w:r w:rsidR="006A5DE9">
        <w:rPr>
          <w:sz w:val="22"/>
          <w:szCs w:val="22"/>
        </w:rPr>
        <w:t xml:space="preserve">, </w:t>
      </w:r>
      <w:r w:rsidRPr="00F377F7">
        <w:rPr>
          <w:sz w:val="22"/>
          <w:szCs w:val="22"/>
        </w:rPr>
        <w:t>Barbara Frierson</w:t>
      </w:r>
      <w:r>
        <w:rPr>
          <w:sz w:val="22"/>
          <w:szCs w:val="22"/>
        </w:rPr>
        <w:t xml:space="preserve">, </w:t>
      </w:r>
      <w:r w:rsidRPr="00F377F7">
        <w:rPr>
          <w:sz w:val="22"/>
          <w:szCs w:val="22"/>
        </w:rPr>
        <w:t xml:space="preserve">Helen </w:t>
      </w:r>
      <w:proofErr w:type="spellStart"/>
      <w:r w:rsidRPr="00F377F7">
        <w:rPr>
          <w:sz w:val="22"/>
          <w:szCs w:val="22"/>
        </w:rPr>
        <w:t>Gibbins</w:t>
      </w:r>
      <w:proofErr w:type="spellEnd"/>
      <w:r>
        <w:rPr>
          <w:sz w:val="22"/>
          <w:szCs w:val="22"/>
        </w:rPr>
        <w:t xml:space="preserve">, </w:t>
      </w:r>
      <w:r w:rsidRPr="00F377F7">
        <w:rPr>
          <w:sz w:val="22"/>
          <w:szCs w:val="22"/>
        </w:rPr>
        <w:t>Austin Graham</w:t>
      </w:r>
      <w:r>
        <w:rPr>
          <w:sz w:val="22"/>
          <w:szCs w:val="22"/>
        </w:rPr>
        <w:t xml:space="preserve">, </w:t>
      </w:r>
      <w:r w:rsidR="006A5DE9" w:rsidRPr="00F377F7">
        <w:rPr>
          <w:sz w:val="22"/>
          <w:szCs w:val="22"/>
        </w:rPr>
        <w:t>Gina Griffith</w:t>
      </w:r>
      <w:r w:rsidR="006A5DE9">
        <w:rPr>
          <w:sz w:val="22"/>
          <w:szCs w:val="22"/>
        </w:rPr>
        <w:t xml:space="preserve">, </w:t>
      </w:r>
      <w:r w:rsidR="006A5DE9" w:rsidRPr="00F377F7">
        <w:rPr>
          <w:sz w:val="22"/>
          <w:szCs w:val="22"/>
        </w:rPr>
        <w:t xml:space="preserve">Marc </w:t>
      </w:r>
      <w:proofErr w:type="spellStart"/>
      <w:r w:rsidR="006A5DE9" w:rsidRPr="00F377F7">
        <w:rPr>
          <w:sz w:val="22"/>
          <w:szCs w:val="22"/>
        </w:rPr>
        <w:t>Harshman</w:t>
      </w:r>
      <w:proofErr w:type="spellEnd"/>
      <w:r w:rsidR="006A5DE9">
        <w:rPr>
          <w:sz w:val="22"/>
          <w:szCs w:val="22"/>
        </w:rPr>
        <w:t xml:space="preserve">, </w:t>
      </w:r>
      <w:r w:rsidRPr="00F377F7">
        <w:rPr>
          <w:sz w:val="22"/>
          <w:szCs w:val="22"/>
        </w:rPr>
        <w:t>Chris Hatfield</w:t>
      </w:r>
      <w:r>
        <w:rPr>
          <w:sz w:val="22"/>
          <w:szCs w:val="22"/>
        </w:rPr>
        <w:t xml:space="preserve">, </w:t>
      </w:r>
      <w:r w:rsidR="006A5DE9" w:rsidRPr="00F377F7">
        <w:rPr>
          <w:sz w:val="22"/>
          <w:szCs w:val="22"/>
        </w:rPr>
        <w:t>Jim Hatfield</w:t>
      </w:r>
      <w:r w:rsidR="006A5DE9">
        <w:rPr>
          <w:sz w:val="22"/>
          <w:szCs w:val="22"/>
        </w:rPr>
        <w:t xml:space="preserve">, </w:t>
      </w:r>
      <w:proofErr w:type="spellStart"/>
      <w:r w:rsidR="006A5DE9" w:rsidRPr="00F377F7">
        <w:rPr>
          <w:sz w:val="22"/>
          <w:szCs w:val="22"/>
        </w:rPr>
        <w:t>Dorris</w:t>
      </w:r>
      <w:proofErr w:type="spellEnd"/>
      <w:r w:rsidR="006A5DE9" w:rsidRPr="00F377F7">
        <w:rPr>
          <w:sz w:val="22"/>
          <w:szCs w:val="22"/>
        </w:rPr>
        <w:t xml:space="preserve"> </w:t>
      </w:r>
      <w:proofErr w:type="spellStart"/>
      <w:r w:rsidR="006A5DE9" w:rsidRPr="00F377F7">
        <w:rPr>
          <w:sz w:val="22"/>
          <w:szCs w:val="22"/>
        </w:rPr>
        <w:t>Headden</w:t>
      </w:r>
      <w:proofErr w:type="spellEnd"/>
      <w:r w:rsidR="006A5DE9">
        <w:rPr>
          <w:sz w:val="22"/>
          <w:szCs w:val="22"/>
        </w:rPr>
        <w:t xml:space="preserve">, </w:t>
      </w:r>
      <w:r w:rsidRPr="00F377F7">
        <w:rPr>
          <w:sz w:val="22"/>
          <w:szCs w:val="22"/>
        </w:rPr>
        <w:t>Regina Hendrix</w:t>
      </w:r>
      <w:r>
        <w:rPr>
          <w:sz w:val="22"/>
          <w:szCs w:val="22"/>
        </w:rPr>
        <w:t xml:space="preserve">, </w:t>
      </w:r>
      <w:r w:rsidR="006A5DE9" w:rsidRPr="00F377F7">
        <w:rPr>
          <w:sz w:val="22"/>
          <w:szCs w:val="22"/>
        </w:rPr>
        <w:t>Jennifer Hopkins</w:t>
      </w:r>
      <w:r w:rsidR="006A5DE9">
        <w:rPr>
          <w:sz w:val="22"/>
          <w:szCs w:val="22"/>
        </w:rPr>
        <w:t xml:space="preserve">, </w:t>
      </w:r>
      <w:r w:rsidRPr="00F377F7">
        <w:rPr>
          <w:sz w:val="22"/>
          <w:szCs w:val="22"/>
        </w:rPr>
        <w:t>Nancy Issenberg</w:t>
      </w:r>
      <w:r>
        <w:rPr>
          <w:sz w:val="22"/>
          <w:szCs w:val="22"/>
        </w:rPr>
        <w:t xml:space="preserve">, </w:t>
      </w:r>
      <w:r w:rsidRPr="00F377F7">
        <w:rPr>
          <w:sz w:val="22"/>
          <w:szCs w:val="22"/>
        </w:rPr>
        <w:t>Kim Kramer</w:t>
      </w:r>
      <w:r>
        <w:rPr>
          <w:sz w:val="22"/>
          <w:szCs w:val="22"/>
        </w:rPr>
        <w:t xml:space="preserve">, </w:t>
      </w:r>
      <w:r w:rsidRPr="00F377F7">
        <w:rPr>
          <w:sz w:val="22"/>
          <w:szCs w:val="22"/>
        </w:rPr>
        <w:t>Cathy Kunkel</w:t>
      </w:r>
      <w:r>
        <w:rPr>
          <w:sz w:val="22"/>
          <w:szCs w:val="22"/>
        </w:rPr>
        <w:t xml:space="preserve">, </w:t>
      </w:r>
      <w:r w:rsidR="006A5DE9" w:rsidRPr="00F377F7">
        <w:rPr>
          <w:sz w:val="22"/>
          <w:szCs w:val="22"/>
        </w:rPr>
        <w:t>Kate Leary</w:t>
      </w:r>
      <w:r w:rsidR="006A5DE9">
        <w:rPr>
          <w:sz w:val="22"/>
          <w:szCs w:val="22"/>
        </w:rPr>
        <w:t xml:space="preserve">, </w:t>
      </w:r>
      <w:r w:rsidR="006A5DE9" w:rsidRPr="00F377F7">
        <w:rPr>
          <w:sz w:val="22"/>
          <w:szCs w:val="22"/>
        </w:rPr>
        <w:t>George Little</w:t>
      </w:r>
      <w:r w:rsidR="006A5DE9">
        <w:rPr>
          <w:sz w:val="22"/>
          <w:szCs w:val="22"/>
        </w:rPr>
        <w:t xml:space="preserve">, </w:t>
      </w:r>
      <w:r w:rsidR="006A5DE9" w:rsidRPr="00F377F7">
        <w:rPr>
          <w:sz w:val="22"/>
          <w:szCs w:val="22"/>
        </w:rPr>
        <w:t xml:space="preserve">Kristin </w:t>
      </w:r>
      <w:proofErr w:type="spellStart"/>
      <w:r w:rsidR="006A5DE9" w:rsidRPr="00F377F7">
        <w:rPr>
          <w:sz w:val="22"/>
          <w:szCs w:val="22"/>
        </w:rPr>
        <w:t>Loken</w:t>
      </w:r>
      <w:proofErr w:type="spellEnd"/>
      <w:r w:rsidR="006A5DE9">
        <w:rPr>
          <w:sz w:val="22"/>
          <w:szCs w:val="22"/>
        </w:rPr>
        <w:t xml:space="preserve">, </w:t>
      </w:r>
      <w:r w:rsidR="006A5DE9" w:rsidRPr="00F377F7">
        <w:rPr>
          <w:sz w:val="22"/>
          <w:szCs w:val="22"/>
        </w:rPr>
        <w:t xml:space="preserve">Ellen </w:t>
      </w:r>
      <w:proofErr w:type="spellStart"/>
      <w:r w:rsidR="006A5DE9" w:rsidRPr="00F377F7">
        <w:rPr>
          <w:sz w:val="22"/>
          <w:szCs w:val="22"/>
        </w:rPr>
        <w:t>Lorish</w:t>
      </w:r>
      <w:proofErr w:type="spellEnd"/>
      <w:r w:rsidR="006A5DE9">
        <w:rPr>
          <w:sz w:val="22"/>
          <w:szCs w:val="22"/>
        </w:rPr>
        <w:t xml:space="preserve">, </w:t>
      </w:r>
      <w:r w:rsidRPr="00F377F7">
        <w:rPr>
          <w:sz w:val="22"/>
          <w:szCs w:val="22"/>
        </w:rPr>
        <w:t>Jessica McCoy</w:t>
      </w:r>
      <w:r>
        <w:rPr>
          <w:sz w:val="22"/>
          <w:szCs w:val="22"/>
        </w:rPr>
        <w:t xml:space="preserve">, </w:t>
      </w:r>
      <w:r w:rsidR="006A5DE9" w:rsidRPr="00F377F7">
        <w:rPr>
          <w:sz w:val="22"/>
          <w:szCs w:val="22"/>
        </w:rPr>
        <w:t>Robert Mertz</w:t>
      </w:r>
      <w:r w:rsidR="006A5DE9">
        <w:rPr>
          <w:sz w:val="22"/>
          <w:szCs w:val="22"/>
        </w:rPr>
        <w:t xml:space="preserve">, </w:t>
      </w:r>
      <w:r w:rsidR="006A5DE9" w:rsidRPr="00F377F7">
        <w:rPr>
          <w:sz w:val="22"/>
          <w:szCs w:val="22"/>
        </w:rPr>
        <w:t>Dan Meier</w:t>
      </w:r>
      <w:r w:rsidR="006A5DE9">
        <w:rPr>
          <w:sz w:val="22"/>
          <w:szCs w:val="22"/>
        </w:rPr>
        <w:t xml:space="preserve">, </w:t>
      </w:r>
      <w:r w:rsidR="006A5DE9" w:rsidRPr="00F377F7">
        <w:rPr>
          <w:sz w:val="22"/>
          <w:szCs w:val="22"/>
        </w:rPr>
        <w:t>Daniel Miller</w:t>
      </w:r>
      <w:r w:rsidR="006A5DE9">
        <w:rPr>
          <w:sz w:val="22"/>
          <w:szCs w:val="22"/>
        </w:rPr>
        <w:t xml:space="preserve">, </w:t>
      </w:r>
      <w:r w:rsidR="006A5DE9" w:rsidRPr="00F377F7">
        <w:rPr>
          <w:sz w:val="22"/>
          <w:szCs w:val="22"/>
        </w:rPr>
        <w:t>Rick Mitchell</w:t>
      </w:r>
      <w:r w:rsidR="006A5DE9">
        <w:rPr>
          <w:sz w:val="22"/>
          <w:szCs w:val="22"/>
        </w:rPr>
        <w:t xml:space="preserve">, </w:t>
      </w:r>
      <w:r w:rsidRPr="00F377F7">
        <w:rPr>
          <w:sz w:val="22"/>
          <w:szCs w:val="22"/>
        </w:rPr>
        <w:t>Merri Morgan</w:t>
      </w:r>
      <w:r>
        <w:rPr>
          <w:sz w:val="22"/>
          <w:szCs w:val="22"/>
        </w:rPr>
        <w:t xml:space="preserve">, </w:t>
      </w:r>
      <w:r w:rsidRPr="00F377F7">
        <w:rPr>
          <w:sz w:val="22"/>
          <w:szCs w:val="22"/>
        </w:rPr>
        <w:t xml:space="preserve">Debbie </w:t>
      </w:r>
      <w:proofErr w:type="spellStart"/>
      <w:r w:rsidRPr="00F377F7">
        <w:rPr>
          <w:sz w:val="22"/>
          <w:szCs w:val="22"/>
        </w:rPr>
        <w:t>Naeter</w:t>
      </w:r>
      <w:proofErr w:type="spellEnd"/>
      <w:r>
        <w:rPr>
          <w:sz w:val="22"/>
          <w:szCs w:val="22"/>
        </w:rPr>
        <w:t xml:space="preserve">, </w:t>
      </w:r>
      <w:r w:rsidR="006A5DE9" w:rsidRPr="00F377F7">
        <w:rPr>
          <w:sz w:val="22"/>
          <w:szCs w:val="22"/>
        </w:rPr>
        <w:t>Jay O'Neal</w:t>
      </w:r>
      <w:r w:rsidR="006A5DE9">
        <w:rPr>
          <w:sz w:val="22"/>
          <w:szCs w:val="22"/>
        </w:rPr>
        <w:t xml:space="preserve">, </w:t>
      </w:r>
      <w:r w:rsidRPr="00F377F7">
        <w:rPr>
          <w:sz w:val="22"/>
          <w:szCs w:val="22"/>
        </w:rPr>
        <w:t>Lisa Prichard</w:t>
      </w:r>
      <w:r>
        <w:rPr>
          <w:sz w:val="22"/>
          <w:szCs w:val="22"/>
        </w:rPr>
        <w:t xml:space="preserve">, </w:t>
      </w:r>
      <w:r w:rsidRPr="00F377F7">
        <w:rPr>
          <w:sz w:val="22"/>
          <w:szCs w:val="22"/>
        </w:rPr>
        <w:t>Francis Sullivan</w:t>
      </w:r>
      <w:r>
        <w:rPr>
          <w:sz w:val="22"/>
          <w:szCs w:val="22"/>
        </w:rPr>
        <w:t xml:space="preserve">, </w:t>
      </w:r>
      <w:r w:rsidRPr="00F377F7">
        <w:rPr>
          <w:sz w:val="22"/>
          <w:szCs w:val="22"/>
        </w:rPr>
        <w:t>Jamie Shultz</w:t>
      </w:r>
      <w:r>
        <w:rPr>
          <w:sz w:val="22"/>
          <w:szCs w:val="22"/>
        </w:rPr>
        <w:t xml:space="preserve">, </w:t>
      </w:r>
      <w:r w:rsidRPr="00F377F7">
        <w:rPr>
          <w:sz w:val="22"/>
          <w:szCs w:val="22"/>
        </w:rPr>
        <w:t>Jerry Rivers</w:t>
      </w:r>
      <w:r>
        <w:rPr>
          <w:sz w:val="22"/>
          <w:szCs w:val="22"/>
        </w:rPr>
        <w:t xml:space="preserve">, </w:t>
      </w:r>
      <w:r w:rsidR="006A5DE9" w:rsidRPr="00F377F7">
        <w:rPr>
          <w:sz w:val="22"/>
          <w:szCs w:val="22"/>
        </w:rPr>
        <w:t>Sally Roberts</w:t>
      </w:r>
      <w:r w:rsidR="006A5DE9">
        <w:rPr>
          <w:sz w:val="22"/>
          <w:szCs w:val="22"/>
        </w:rPr>
        <w:t>,</w:t>
      </w:r>
      <w:r w:rsidR="006A5DE9" w:rsidRPr="00F377F7">
        <w:rPr>
          <w:sz w:val="22"/>
          <w:szCs w:val="22"/>
        </w:rPr>
        <w:t xml:space="preserve"> </w:t>
      </w:r>
      <w:r w:rsidRPr="00F377F7">
        <w:rPr>
          <w:sz w:val="22"/>
          <w:szCs w:val="22"/>
        </w:rPr>
        <w:t>Angie Rosser</w:t>
      </w:r>
      <w:r>
        <w:rPr>
          <w:sz w:val="22"/>
          <w:szCs w:val="22"/>
        </w:rPr>
        <w:t xml:space="preserve">, </w:t>
      </w:r>
      <w:r w:rsidRPr="00F377F7">
        <w:rPr>
          <w:sz w:val="22"/>
          <w:szCs w:val="22"/>
        </w:rPr>
        <w:t>Copley Smoak</w:t>
      </w:r>
      <w:r>
        <w:rPr>
          <w:sz w:val="22"/>
          <w:szCs w:val="22"/>
        </w:rPr>
        <w:t xml:space="preserve">, </w:t>
      </w:r>
      <w:r w:rsidRPr="00F377F7">
        <w:rPr>
          <w:sz w:val="22"/>
          <w:szCs w:val="22"/>
        </w:rPr>
        <w:t>Kathy Stoltz</w:t>
      </w:r>
      <w:r>
        <w:rPr>
          <w:sz w:val="22"/>
          <w:szCs w:val="22"/>
        </w:rPr>
        <w:t xml:space="preserve">, </w:t>
      </w:r>
      <w:r w:rsidRPr="00F377F7">
        <w:rPr>
          <w:sz w:val="22"/>
          <w:szCs w:val="22"/>
        </w:rPr>
        <w:t>Kathryn Stone</w:t>
      </w:r>
      <w:r>
        <w:rPr>
          <w:sz w:val="22"/>
          <w:szCs w:val="22"/>
        </w:rPr>
        <w:t xml:space="preserve">, </w:t>
      </w:r>
      <w:r w:rsidRPr="00F377F7">
        <w:rPr>
          <w:sz w:val="22"/>
          <w:szCs w:val="22"/>
        </w:rPr>
        <w:t>Natasha Stone</w:t>
      </w:r>
      <w:r>
        <w:rPr>
          <w:sz w:val="22"/>
          <w:szCs w:val="22"/>
        </w:rPr>
        <w:t xml:space="preserve">, </w:t>
      </w:r>
      <w:r w:rsidRPr="00F377F7">
        <w:rPr>
          <w:sz w:val="22"/>
          <w:szCs w:val="22"/>
        </w:rPr>
        <w:t>Anna Mary Walsh</w:t>
      </w:r>
      <w:r>
        <w:rPr>
          <w:sz w:val="22"/>
          <w:szCs w:val="22"/>
        </w:rPr>
        <w:t xml:space="preserve">, </w:t>
      </w:r>
      <w:r w:rsidRPr="00F377F7">
        <w:rPr>
          <w:sz w:val="22"/>
          <w:szCs w:val="22"/>
        </w:rPr>
        <w:t>Carole Williams</w:t>
      </w:r>
      <w:r>
        <w:rPr>
          <w:sz w:val="22"/>
          <w:szCs w:val="22"/>
        </w:rPr>
        <w:t xml:space="preserve">, </w:t>
      </w:r>
      <w:r w:rsidRPr="00F377F7">
        <w:rPr>
          <w:sz w:val="22"/>
          <w:szCs w:val="22"/>
        </w:rPr>
        <w:t>Wilson</w:t>
      </w:r>
      <w:r>
        <w:rPr>
          <w:sz w:val="22"/>
          <w:szCs w:val="22"/>
        </w:rPr>
        <w:t xml:space="preserve">, </w:t>
      </w:r>
      <w:r w:rsidRPr="00F377F7">
        <w:rPr>
          <w:sz w:val="22"/>
          <w:szCs w:val="22"/>
        </w:rPr>
        <w:t>Sara Wilts</w:t>
      </w:r>
      <w:r>
        <w:rPr>
          <w:sz w:val="22"/>
          <w:szCs w:val="22"/>
        </w:rPr>
        <w:t xml:space="preserve">, </w:t>
      </w:r>
      <w:r w:rsidRPr="00F377F7">
        <w:rPr>
          <w:sz w:val="22"/>
          <w:szCs w:val="22"/>
        </w:rPr>
        <w:t>Valerie Woody</w:t>
      </w:r>
      <w:r>
        <w:rPr>
          <w:sz w:val="22"/>
          <w:szCs w:val="22"/>
        </w:rPr>
        <w:t xml:space="preserve">, </w:t>
      </w:r>
      <w:r w:rsidR="006A5DE9" w:rsidRPr="00F377F7">
        <w:rPr>
          <w:sz w:val="22"/>
          <w:szCs w:val="22"/>
        </w:rPr>
        <w:t>Alicia Wright</w:t>
      </w:r>
      <w:r w:rsidR="006A5DE9">
        <w:rPr>
          <w:sz w:val="22"/>
          <w:szCs w:val="22"/>
        </w:rPr>
        <w:t xml:space="preserve">, </w:t>
      </w:r>
      <w:r w:rsidRPr="00F377F7">
        <w:rPr>
          <w:sz w:val="22"/>
          <w:szCs w:val="22"/>
        </w:rPr>
        <w:t>Kayla Young</w:t>
      </w:r>
      <w:r>
        <w:rPr>
          <w:sz w:val="22"/>
          <w:szCs w:val="22"/>
        </w:rPr>
        <w:t xml:space="preserve">, </w:t>
      </w:r>
      <w:r w:rsidRPr="00F377F7">
        <w:rPr>
          <w:sz w:val="22"/>
          <w:szCs w:val="22"/>
        </w:rPr>
        <w:t xml:space="preserve">Gary </w:t>
      </w:r>
      <w:proofErr w:type="spellStart"/>
      <w:r w:rsidRPr="00F377F7">
        <w:rPr>
          <w:sz w:val="22"/>
          <w:szCs w:val="22"/>
        </w:rPr>
        <w:t>Zuckett</w:t>
      </w:r>
      <w:proofErr w:type="spellEnd"/>
      <w:r>
        <w:rPr>
          <w:sz w:val="22"/>
          <w:szCs w:val="22"/>
        </w:rPr>
        <w:t>.</w:t>
      </w:r>
      <w:proofErr w:type="gramEnd"/>
    </w:p>
    <w:p w:rsidR="00CF3C71" w:rsidRPr="00F377F7" w:rsidRDefault="00CF3C71" w:rsidP="00F377F7">
      <w:pPr>
        <w:pBdr>
          <w:bottom w:val="single" w:sz="6" w:space="1" w:color="auto"/>
        </w:pBdr>
        <w:ind w:left="2160" w:hanging="2160"/>
        <w:rPr>
          <w:sz w:val="22"/>
          <w:szCs w:val="22"/>
        </w:rPr>
      </w:pPr>
    </w:p>
    <w:p w:rsidR="00265186" w:rsidRPr="00F377F7" w:rsidRDefault="00265186" w:rsidP="00E35431">
      <w:pPr>
        <w:rPr>
          <w:sz w:val="22"/>
          <w:szCs w:val="22"/>
        </w:rPr>
      </w:pPr>
    </w:p>
    <w:p w:rsidR="00265186" w:rsidRPr="00F377F7" w:rsidRDefault="000A7128" w:rsidP="000A7128">
      <w:pPr>
        <w:jc w:val="center"/>
        <w:rPr>
          <w:b/>
          <w:sz w:val="22"/>
          <w:szCs w:val="22"/>
          <w:u w:val="single"/>
        </w:rPr>
      </w:pPr>
      <w:r w:rsidRPr="00F377F7">
        <w:rPr>
          <w:b/>
          <w:sz w:val="22"/>
          <w:szCs w:val="22"/>
          <w:u w:val="single"/>
        </w:rPr>
        <w:t>Comments and Responses</w:t>
      </w:r>
    </w:p>
    <w:p w:rsidR="00C209FB" w:rsidRPr="00F377F7" w:rsidRDefault="00C209FB" w:rsidP="00265186">
      <w:pPr>
        <w:autoSpaceDE w:val="0"/>
        <w:autoSpaceDN w:val="0"/>
        <w:adjustRightInd w:val="0"/>
        <w:rPr>
          <w:rFonts w:ascii="CenturySchoolbook-Bold" w:hAnsi="CenturySchoolbook-Bold" w:cs="CenturySchoolbook-Bold"/>
          <w:b/>
          <w:bCs/>
          <w:color w:val="000000"/>
          <w:sz w:val="22"/>
          <w:szCs w:val="22"/>
        </w:rPr>
      </w:pPr>
    </w:p>
    <w:p w:rsidR="00C209FB" w:rsidRPr="00F377F7" w:rsidRDefault="00265186" w:rsidP="00C209FB">
      <w:pPr>
        <w:pStyle w:val="ListParagraph"/>
        <w:numPr>
          <w:ilvl w:val="0"/>
          <w:numId w:val="3"/>
        </w:numPr>
        <w:autoSpaceDE w:val="0"/>
        <w:autoSpaceDN w:val="0"/>
        <w:adjustRightInd w:val="0"/>
        <w:rPr>
          <w:b/>
          <w:bCs/>
          <w:color w:val="000000"/>
          <w:sz w:val="22"/>
          <w:szCs w:val="22"/>
        </w:rPr>
      </w:pPr>
      <w:r w:rsidRPr="00F377F7">
        <w:rPr>
          <w:b/>
          <w:bCs/>
          <w:color w:val="000000"/>
          <w:sz w:val="22"/>
          <w:szCs w:val="22"/>
        </w:rPr>
        <w:t>§ 146-3-2. “Definitions”</w:t>
      </w:r>
    </w:p>
    <w:p w:rsidR="00C209FB" w:rsidRPr="00F377F7" w:rsidRDefault="00C209FB" w:rsidP="00C209FB">
      <w:pPr>
        <w:pStyle w:val="ListParagraph"/>
        <w:autoSpaceDE w:val="0"/>
        <w:autoSpaceDN w:val="0"/>
        <w:adjustRightInd w:val="0"/>
        <w:rPr>
          <w:b/>
          <w:bCs/>
          <w:color w:val="000000"/>
          <w:sz w:val="22"/>
          <w:szCs w:val="22"/>
        </w:rPr>
      </w:pPr>
    </w:p>
    <w:p w:rsidR="00265186" w:rsidRPr="00F377F7" w:rsidRDefault="00265186" w:rsidP="00C209FB">
      <w:pPr>
        <w:pStyle w:val="ListParagraph"/>
        <w:numPr>
          <w:ilvl w:val="1"/>
          <w:numId w:val="3"/>
        </w:numPr>
        <w:autoSpaceDE w:val="0"/>
        <w:autoSpaceDN w:val="0"/>
        <w:adjustRightInd w:val="0"/>
        <w:rPr>
          <w:b/>
          <w:bCs/>
          <w:color w:val="000000"/>
          <w:sz w:val="22"/>
          <w:szCs w:val="22"/>
        </w:rPr>
      </w:pPr>
      <w:r w:rsidRPr="00F377F7">
        <w:rPr>
          <w:i/>
          <w:iCs/>
          <w:color w:val="000000"/>
          <w:sz w:val="22"/>
          <w:szCs w:val="22"/>
        </w:rPr>
        <w:t>Subsection 2.8. “Committee”</w:t>
      </w:r>
    </w:p>
    <w:p w:rsidR="00C209FB" w:rsidRPr="00F377F7" w:rsidRDefault="00C209FB" w:rsidP="00265186">
      <w:pPr>
        <w:autoSpaceDE w:val="0"/>
        <w:autoSpaceDN w:val="0"/>
        <w:adjustRightInd w:val="0"/>
        <w:rPr>
          <w:color w:val="000000"/>
          <w:sz w:val="22"/>
          <w:szCs w:val="22"/>
        </w:rPr>
      </w:pPr>
    </w:p>
    <w:p w:rsidR="00265186" w:rsidRPr="00F377F7" w:rsidRDefault="00265186" w:rsidP="00265186">
      <w:pPr>
        <w:autoSpaceDE w:val="0"/>
        <w:autoSpaceDN w:val="0"/>
        <w:adjustRightInd w:val="0"/>
        <w:rPr>
          <w:color w:val="000000"/>
          <w:sz w:val="22"/>
          <w:szCs w:val="22"/>
        </w:rPr>
      </w:pPr>
      <w:proofErr w:type="gramStart"/>
      <w:r w:rsidRPr="00F377F7">
        <w:rPr>
          <w:color w:val="000000"/>
          <w:sz w:val="22"/>
          <w:szCs w:val="22"/>
        </w:rPr>
        <w:t>The proposed rule introduces the term “committee,” defined to include an</w:t>
      </w:r>
      <w:r w:rsidR="00C209FB" w:rsidRPr="00F377F7">
        <w:rPr>
          <w:color w:val="000000"/>
          <w:sz w:val="22"/>
          <w:szCs w:val="22"/>
        </w:rPr>
        <w:t xml:space="preserve"> </w:t>
      </w:r>
      <w:r w:rsidRPr="00F377F7">
        <w:rPr>
          <w:color w:val="000000"/>
          <w:sz w:val="22"/>
          <w:szCs w:val="22"/>
        </w:rPr>
        <w:t>“entity” or group “composed of one or more persons for the purpose of engaging in,</w:t>
      </w:r>
      <w:r w:rsidR="00C209FB" w:rsidRPr="00F377F7">
        <w:rPr>
          <w:color w:val="000000"/>
          <w:sz w:val="22"/>
          <w:szCs w:val="22"/>
        </w:rPr>
        <w:t xml:space="preserve"> </w:t>
      </w:r>
      <w:r w:rsidRPr="00F377F7">
        <w:rPr>
          <w:color w:val="000000"/>
          <w:sz w:val="22"/>
          <w:szCs w:val="22"/>
        </w:rPr>
        <w:t>overseeing, managing, or otherwise operating in support, on behalf or against any</w:t>
      </w:r>
      <w:r w:rsidR="00C209FB" w:rsidRPr="00F377F7">
        <w:rPr>
          <w:color w:val="000000"/>
          <w:sz w:val="22"/>
          <w:szCs w:val="22"/>
        </w:rPr>
        <w:t xml:space="preserve"> </w:t>
      </w:r>
      <w:r w:rsidRPr="00F377F7">
        <w:rPr>
          <w:color w:val="000000"/>
          <w:sz w:val="22"/>
          <w:szCs w:val="22"/>
        </w:rPr>
        <w:t>certain or specific matters under the authority provided by contract, operation, law,</w:t>
      </w:r>
      <w:r w:rsidR="00C209FB" w:rsidRPr="00F377F7">
        <w:rPr>
          <w:color w:val="000000"/>
          <w:sz w:val="22"/>
          <w:szCs w:val="22"/>
        </w:rPr>
        <w:t xml:space="preserve"> </w:t>
      </w:r>
      <w:r w:rsidRPr="00F377F7">
        <w:rPr>
          <w:color w:val="000000"/>
          <w:sz w:val="22"/>
          <w:szCs w:val="22"/>
        </w:rPr>
        <w:t>statute, and/ or designation by another person, group of persons, entity or entities.”</w:t>
      </w:r>
      <w:proofErr w:type="gramEnd"/>
      <w:r w:rsidR="00C209FB" w:rsidRPr="00F377F7">
        <w:rPr>
          <w:color w:val="000000"/>
          <w:sz w:val="22"/>
          <w:szCs w:val="22"/>
        </w:rPr>
        <w:t xml:space="preserve"> </w:t>
      </w:r>
      <w:r w:rsidRPr="00F377F7">
        <w:rPr>
          <w:color w:val="000000"/>
          <w:sz w:val="22"/>
          <w:szCs w:val="22"/>
        </w:rPr>
        <w:t>S.B. 622 did not include a standalone definition of “committee,” and the term is not</w:t>
      </w:r>
      <w:r w:rsidR="00C209FB" w:rsidRPr="00F377F7">
        <w:rPr>
          <w:color w:val="000000"/>
          <w:sz w:val="22"/>
          <w:szCs w:val="22"/>
        </w:rPr>
        <w:t xml:space="preserve"> </w:t>
      </w:r>
      <w:r w:rsidRPr="00F377F7">
        <w:rPr>
          <w:color w:val="000000"/>
          <w:sz w:val="22"/>
          <w:szCs w:val="22"/>
        </w:rPr>
        <w:t>otherwise defined in § 3-8-1a of the Code.</w:t>
      </w:r>
    </w:p>
    <w:p w:rsidR="00C209FB" w:rsidRPr="00F377F7" w:rsidRDefault="00C209FB" w:rsidP="00265186">
      <w:pPr>
        <w:autoSpaceDE w:val="0"/>
        <w:autoSpaceDN w:val="0"/>
        <w:adjustRightInd w:val="0"/>
        <w:rPr>
          <w:color w:val="000000"/>
          <w:sz w:val="22"/>
          <w:szCs w:val="22"/>
        </w:rPr>
      </w:pPr>
    </w:p>
    <w:p w:rsidR="00265186" w:rsidRPr="00F377F7" w:rsidRDefault="00265186" w:rsidP="00265186">
      <w:pPr>
        <w:autoSpaceDE w:val="0"/>
        <w:autoSpaceDN w:val="0"/>
        <w:adjustRightInd w:val="0"/>
        <w:rPr>
          <w:color w:val="000000"/>
          <w:sz w:val="22"/>
          <w:szCs w:val="22"/>
        </w:rPr>
      </w:pPr>
      <w:r w:rsidRPr="00F377F7">
        <w:rPr>
          <w:color w:val="000000"/>
          <w:sz w:val="22"/>
          <w:szCs w:val="22"/>
        </w:rPr>
        <w:t>The proposed rule’s “committee” definition is indistinct, and it does not</w:t>
      </w:r>
      <w:r w:rsidR="00C209FB" w:rsidRPr="00F377F7">
        <w:rPr>
          <w:color w:val="000000"/>
          <w:sz w:val="22"/>
          <w:szCs w:val="22"/>
        </w:rPr>
        <w:t xml:space="preserve"> </w:t>
      </w:r>
      <w:r w:rsidRPr="00F377F7">
        <w:rPr>
          <w:color w:val="000000"/>
          <w:sz w:val="22"/>
          <w:szCs w:val="22"/>
        </w:rPr>
        <w:t xml:space="preserve">specify whether a “committee” </w:t>
      </w:r>
      <w:proofErr w:type="gramStart"/>
      <w:r w:rsidRPr="00F377F7">
        <w:rPr>
          <w:color w:val="000000"/>
          <w:sz w:val="22"/>
          <w:szCs w:val="22"/>
        </w:rPr>
        <w:t>is authorized</w:t>
      </w:r>
      <w:proofErr w:type="gramEnd"/>
      <w:r w:rsidRPr="00F377F7">
        <w:rPr>
          <w:color w:val="000000"/>
          <w:sz w:val="22"/>
          <w:szCs w:val="22"/>
        </w:rPr>
        <w:t xml:space="preserve"> by a candidate or is otherwise engaged</w:t>
      </w:r>
      <w:r w:rsidR="00C209FB" w:rsidRPr="00F377F7">
        <w:rPr>
          <w:color w:val="000000"/>
          <w:sz w:val="22"/>
          <w:szCs w:val="22"/>
        </w:rPr>
        <w:t xml:space="preserve"> </w:t>
      </w:r>
      <w:r w:rsidRPr="00F377F7">
        <w:rPr>
          <w:color w:val="000000"/>
          <w:sz w:val="22"/>
          <w:szCs w:val="22"/>
        </w:rPr>
        <w:t>in election-related activity governed by Article 8, Chapter 3 of the West Virginia</w:t>
      </w:r>
      <w:r w:rsidR="00C209FB" w:rsidRPr="00F377F7">
        <w:rPr>
          <w:color w:val="000000"/>
          <w:sz w:val="22"/>
          <w:szCs w:val="22"/>
        </w:rPr>
        <w:t xml:space="preserve"> </w:t>
      </w:r>
      <w:r w:rsidRPr="00F377F7">
        <w:rPr>
          <w:color w:val="000000"/>
          <w:sz w:val="22"/>
          <w:szCs w:val="22"/>
        </w:rPr>
        <w:t>Code. As worded, the definition could apply to a range of entities operating outside</w:t>
      </w:r>
      <w:r w:rsidR="00C209FB" w:rsidRPr="00F377F7">
        <w:rPr>
          <w:color w:val="000000"/>
          <w:sz w:val="22"/>
          <w:szCs w:val="22"/>
        </w:rPr>
        <w:t xml:space="preserve"> </w:t>
      </w:r>
      <w:r w:rsidRPr="00F377F7">
        <w:rPr>
          <w:color w:val="000000"/>
          <w:sz w:val="22"/>
          <w:szCs w:val="22"/>
        </w:rPr>
        <w:t>the scope of West Virginia’s campaign finance law. Because the purpose of the term</w:t>
      </w:r>
      <w:r w:rsidR="00C209FB" w:rsidRPr="00F377F7">
        <w:rPr>
          <w:color w:val="000000"/>
          <w:sz w:val="22"/>
          <w:szCs w:val="22"/>
        </w:rPr>
        <w:t xml:space="preserve"> </w:t>
      </w:r>
      <w:r w:rsidRPr="00F377F7">
        <w:rPr>
          <w:color w:val="000000"/>
          <w:sz w:val="22"/>
          <w:szCs w:val="22"/>
        </w:rPr>
        <w:t>is unclear, we recommend either clarifying the “committee” definition or removing it</w:t>
      </w:r>
      <w:r w:rsidR="00C209FB" w:rsidRPr="00F377F7">
        <w:rPr>
          <w:color w:val="000000"/>
          <w:sz w:val="22"/>
          <w:szCs w:val="22"/>
        </w:rPr>
        <w:t xml:space="preserve"> </w:t>
      </w:r>
      <w:r w:rsidRPr="00F377F7">
        <w:rPr>
          <w:color w:val="000000"/>
          <w:sz w:val="22"/>
          <w:szCs w:val="22"/>
        </w:rPr>
        <w:t>from the rule.</w:t>
      </w:r>
    </w:p>
    <w:p w:rsidR="00C209FB" w:rsidRPr="00F377F7" w:rsidRDefault="00C209FB" w:rsidP="00265186">
      <w:pPr>
        <w:autoSpaceDE w:val="0"/>
        <w:autoSpaceDN w:val="0"/>
        <w:adjustRightInd w:val="0"/>
        <w:rPr>
          <w:color w:val="000000"/>
          <w:sz w:val="22"/>
          <w:szCs w:val="22"/>
        </w:rPr>
      </w:pPr>
    </w:p>
    <w:p w:rsidR="00137DB0" w:rsidRPr="00F377F7" w:rsidRDefault="00137DB0" w:rsidP="00265186">
      <w:pPr>
        <w:autoSpaceDE w:val="0"/>
        <w:autoSpaceDN w:val="0"/>
        <w:adjustRightInd w:val="0"/>
        <w:rPr>
          <w:b/>
          <w:color w:val="000000"/>
          <w:sz w:val="22"/>
          <w:szCs w:val="22"/>
        </w:rPr>
      </w:pPr>
      <w:r w:rsidRPr="00F377F7">
        <w:rPr>
          <w:b/>
          <w:color w:val="000000"/>
          <w:sz w:val="22"/>
          <w:szCs w:val="22"/>
        </w:rPr>
        <w:t>RESPONSE:</w:t>
      </w:r>
    </w:p>
    <w:p w:rsidR="00137DB0" w:rsidRPr="00F377F7" w:rsidRDefault="00137DB0" w:rsidP="00265186">
      <w:pPr>
        <w:autoSpaceDE w:val="0"/>
        <w:autoSpaceDN w:val="0"/>
        <w:adjustRightInd w:val="0"/>
        <w:rPr>
          <w:color w:val="000000"/>
          <w:sz w:val="22"/>
          <w:szCs w:val="22"/>
        </w:rPr>
      </w:pPr>
    </w:p>
    <w:p w:rsidR="00137DB0" w:rsidRPr="00F377F7" w:rsidRDefault="00D64E12" w:rsidP="00265186">
      <w:pPr>
        <w:autoSpaceDE w:val="0"/>
        <w:autoSpaceDN w:val="0"/>
        <w:adjustRightInd w:val="0"/>
        <w:rPr>
          <w:b/>
          <w:color w:val="000000"/>
          <w:sz w:val="22"/>
          <w:szCs w:val="22"/>
        </w:rPr>
      </w:pPr>
      <w:r w:rsidRPr="00F377F7">
        <w:rPr>
          <w:b/>
          <w:color w:val="000000"/>
          <w:sz w:val="22"/>
          <w:szCs w:val="22"/>
        </w:rPr>
        <w:t>T</w:t>
      </w:r>
      <w:r w:rsidR="00137DB0" w:rsidRPr="00F377F7">
        <w:rPr>
          <w:b/>
          <w:color w:val="000000"/>
          <w:sz w:val="22"/>
          <w:szCs w:val="22"/>
        </w:rPr>
        <w:t xml:space="preserve">his term </w:t>
      </w:r>
      <w:proofErr w:type="gramStart"/>
      <w:r w:rsidR="00137DB0" w:rsidRPr="00F377F7">
        <w:rPr>
          <w:b/>
          <w:color w:val="000000"/>
          <w:sz w:val="22"/>
          <w:szCs w:val="22"/>
        </w:rPr>
        <w:t xml:space="preserve">will </w:t>
      </w:r>
      <w:r w:rsidRPr="00F377F7">
        <w:rPr>
          <w:b/>
          <w:color w:val="000000"/>
          <w:sz w:val="22"/>
          <w:szCs w:val="22"/>
        </w:rPr>
        <w:t xml:space="preserve">be </w:t>
      </w:r>
      <w:r w:rsidR="00137DB0" w:rsidRPr="00F377F7">
        <w:rPr>
          <w:b/>
          <w:color w:val="000000"/>
          <w:sz w:val="22"/>
          <w:szCs w:val="22"/>
        </w:rPr>
        <w:t>remove</w:t>
      </w:r>
      <w:r w:rsidRPr="00F377F7">
        <w:rPr>
          <w:b/>
          <w:color w:val="000000"/>
          <w:sz w:val="22"/>
          <w:szCs w:val="22"/>
        </w:rPr>
        <w:t>d</w:t>
      </w:r>
      <w:proofErr w:type="gramEnd"/>
      <w:r w:rsidR="00137DB0" w:rsidRPr="00F377F7">
        <w:rPr>
          <w:b/>
          <w:color w:val="000000"/>
          <w:sz w:val="22"/>
          <w:szCs w:val="22"/>
        </w:rPr>
        <w:t xml:space="preserve"> from the Rule</w:t>
      </w:r>
      <w:r w:rsidR="0041213D" w:rsidRPr="00F377F7">
        <w:rPr>
          <w:b/>
          <w:color w:val="000000"/>
          <w:sz w:val="22"/>
          <w:szCs w:val="22"/>
        </w:rPr>
        <w:t xml:space="preserve"> to avoid potential confusion</w:t>
      </w:r>
      <w:r w:rsidR="00137DB0" w:rsidRPr="00F377F7">
        <w:rPr>
          <w:b/>
          <w:color w:val="000000"/>
          <w:sz w:val="22"/>
          <w:szCs w:val="22"/>
        </w:rPr>
        <w:t>.</w:t>
      </w:r>
    </w:p>
    <w:p w:rsidR="00137DB0" w:rsidRPr="00F377F7" w:rsidRDefault="00137DB0" w:rsidP="00265186">
      <w:pPr>
        <w:autoSpaceDE w:val="0"/>
        <w:autoSpaceDN w:val="0"/>
        <w:adjustRightInd w:val="0"/>
        <w:rPr>
          <w:b/>
          <w:color w:val="000000"/>
          <w:sz w:val="22"/>
          <w:szCs w:val="22"/>
        </w:rPr>
      </w:pPr>
    </w:p>
    <w:p w:rsidR="00265186" w:rsidRPr="00F377F7" w:rsidRDefault="00265186" w:rsidP="00C209FB">
      <w:pPr>
        <w:pStyle w:val="ListParagraph"/>
        <w:numPr>
          <w:ilvl w:val="1"/>
          <w:numId w:val="3"/>
        </w:numPr>
        <w:autoSpaceDE w:val="0"/>
        <w:autoSpaceDN w:val="0"/>
        <w:adjustRightInd w:val="0"/>
        <w:rPr>
          <w:i/>
          <w:iCs/>
          <w:color w:val="000000"/>
          <w:sz w:val="22"/>
          <w:szCs w:val="22"/>
        </w:rPr>
      </w:pPr>
      <w:r w:rsidRPr="00F377F7">
        <w:rPr>
          <w:i/>
          <w:iCs/>
          <w:color w:val="000000"/>
          <w:sz w:val="22"/>
          <w:szCs w:val="22"/>
        </w:rPr>
        <w:lastRenderedPageBreak/>
        <w:t>Subsection 2.</w:t>
      </w:r>
      <w:r w:rsidR="006A5DE9">
        <w:rPr>
          <w:i/>
          <w:iCs/>
          <w:color w:val="000000"/>
          <w:sz w:val="22"/>
          <w:szCs w:val="22"/>
        </w:rPr>
        <w:t>9</w:t>
      </w:r>
      <w:r w:rsidRPr="00F377F7">
        <w:rPr>
          <w:i/>
          <w:iCs/>
          <w:color w:val="000000"/>
          <w:sz w:val="22"/>
          <w:szCs w:val="22"/>
        </w:rPr>
        <w:t>. “Coordinated Expenditure”</w:t>
      </w:r>
    </w:p>
    <w:p w:rsidR="0041213D" w:rsidRPr="00F377F7" w:rsidRDefault="0041213D" w:rsidP="0041213D">
      <w:pPr>
        <w:pStyle w:val="ListParagraph"/>
        <w:autoSpaceDE w:val="0"/>
        <w:autoSpaceDN w:val="0"/>
        <w:adjustRightInd w:val="0"/>
        <w:ind w:left="1440"/>
        <w:rPr>
          <w:i/>
          <w:iCs/>
          <w:color w:val="000000"/>
          <w:sz w:val="22"/>
          <w:szCs w:val="22"/>
        </w:rPr>
      </w:pPr>
    </w:p>
    <w:p w:rsidR="00265186" w:rsidRPr="00F377F7" w:rsidRDefault="00265186" w:rsidP="00265186">
      <w:pPr>
        <w:autoSpaceDE w:val="0"/>
        <w:autoSpaceDN w:val="0"/>
        <w:adjustRightInd w:val="0"/>
        <w:rPr>
          <w:color w:val="000000"/>
          <w:sz w:val="22"/>
          <w:szCs w:val="22"/>
        </w:rPr>
      </w:pPr>
      <w:r w:rsidRPr="00F377F7">
        <w:rPr>
          <w:color w:val="000000"/>
          <w:sz w:val="22"/>
          <w:szCs w:val="22"/>
        </w:rPr>
        <w:t>The proposed rule’s definition of “coordinated expenditure” includes “an</w:t>
      </w:r>
      <w:r w:rsidR="00C209FB" w:rsidRPr="00F377F7">
        <w:rPr>
          <w:color w:val="000000"/>
          <w:sz w:val="22"/>
          <w:szCs w:val="22"/>
        </w:rPr>
        <w:t xml:space="preserve"> </w:t>
      </w:r>
      <w:r w:rsidRPr="00F377F7">
        <w:rPr>
          <w:color w:val="000000"/>
          <w:sz w:val="22"/>
          <w:szCs w:val="22"/>
        </w:rPr>
        <w:t>expenditure made with, in cooperation with, or at the request or suggestion of the</w:t>
      </w:r>
      <w:r w:rsidR="00C209FB" w:rsidRPr="00F377F7">
        <w:rPr>
          <w:color w:val="000000"/>
          <w:sz w:val="22"/>
          <w:szCs w:val="22"/>
        </w:rPr>
        <w:t xml:space="preserve"> </w:t>
      </w:r>
      <w:r w:rsidRPr="00F377F7">
        <w:rPr>
          <w:color w:val="000000"/>
          <w:sz w:val="22"/>
          <w:szCs w:val="22"/>
        </w:rPr>
        <w:t>referenced candidate or candidate’s committee, political party committee or caucus</w:t>
      </w:r>
      <w:r w:rsidR="00C209FB" w:rsidRPr="00F377F7">
        <w:rPr>
          <w:color w:val="000000"/>
          <w:sz w:val="22"/>
          <w:szCs w:val="22"/>
        </w:rPr>
        <w:t xml:space="preserve"> </w:t>
      </w:r>
      <w:r w:rsidRPr="00F377F7">
        <w:rPr>
          <w:color w:val="000000"/>
          <w:sz w:val="22"/>
          <w:szCs w:val="22"/>
        </w:rPr>
        <w:t>campaign committee and meeting the c</w:t>
      </w:r>
      <w:r w:rsidR="006A5DE9">
        <w:rPr>
          <w:color w:val="000000"/>
          <w:sz w:val="22"/>
          <w:szCs w:val="22"/>
        </w:rPr>
        <w:t>riteria provided in 146-CSR 3-14</w:t>
      </w:r>
      <w:r w:rsidRPr="00F377F7">
        <w:rPr>
          <w:color w:val="000000"/>
          <w:sz w:val="22"/>
          <w:szCs w:val="22"/>
        </w:rPr>
        <w:t xml:space="preserve"> of this rule.”</w:t>
      </w:r>
      <w:r w:rsidR="00C209FB" w:rsidRPr="00F377F7">
        <w:rPr>
          <w:color w:val="000000"/>
          <w:sz w:val="22"/>
          <w:szCs w:val="22"/>
        </w:rPr>
        <w:t xml:space="preserve"> </w:t>
      </w:r>
      <w:r w:rsidRPr="00F377F7">
        <w:rPr>
          <w:color w:val="000000"/>
          <w:sz w:val="22"/>
          <w:szCs w:val="22"/>
        </w:rPr>
        <w:t>S.B. 622 also added a definition of “coordinated expenditure” to the Code.</w:t>
      </w:r>
      <w:r w:rsidR="00C209FB" w:rsidRPr="00F377F7">
        <w:rPr>
          <w:rStyle w:val="FootnoteReference"/>
          <w:color w:val="000000"/>
          <w:sz w:val="22"/>
          <w:szCs w:val="22"/>
        </w:rPr>
        <w:footnoteReference w:id="1"/>
      </w:r>
    </w:p>
    <w:p w:rsidR="00141292" w:rsidRPr="00F377F7" w:rsidRDefault="00265186" w:rsidP="00265186">
      <w:pPr>
        <w:autoSpaceDE w:val="0"/>
        <w:autoSpaceDN w:val="0"/>
        <w:adjustRightInd w:val="0"/>
        <w:rPr>
          <w:color w:val="000000"/>
          <w:sz w:val="22"/>
          <w:szCs w:val="22"/>
        </w:rPr>
      </w:pPr>
      <w:r w:rsidRPr="00F377F7">
        <w:rPr>
          <w:color w:val="000000"/>
          <w:sz w:val="22"/>
          <w:szCs w:val="22"/>
        </w:rPr>
        <w:t>We support the rule’s inclusion of expenditures coordinated with political</w:t>
      </w:r>
      <w:r w:rsidR="00C209FB" w:rsidRPr="00F377F7">
        <w:rPr>
          <w:color w:val="000000"/>
          <w:sz w:val="22"/>
          <w:szCs w:val="22"/>
        </w:rPr>
        <w:t xml:space="preserve"> </w:t>
      </w:r>
      <w:r w:rsidRPr="00F377F7">
        <w:rPr>
          <w:color w:val="000000"/>
          <w:sz w:val="22"/>
          <w:szCs w:val="22"/>
        </w:rPr>
        <w:t>party committees and caucus campaign committees. Importantly, this addition will</w:t>
      </w:r>
      <w:r w:rsidR="00C209FB" w:rsidRPr="00F377F7">
        <w:rPr>
          <w:color w:val="000000"/>
          <w:sz w:val="22"/>
          <w:szCs w:val="22"/>
        </w:rPr>
        <w:t xml:space="preserve"> </w:t>
      </w:r>
      <w:r w:rsidRPr="00F377F7">
        <w:rPr>
          <w:color w:val="000000"/>
          <w:sz w:val="22"/>
          <w:szCs w:val="22"/>
        </w:rPr>
        <w:t>help to prevent the circumvention of contributions limits applicable to political</w:t>
      </w:r>
      <w:r w:rsidR="00C209FB" w:rsidRPr="00F377F7">
        <w:rPr>
          <w:color w:val="000000"/>
          <w:sz w:val="22"/>
          <w:szCs w:val="22"/>
        </w:rPr>
        <w:t xml:space="preserve"> </w:t>
      </w:r>
      <w:r w:rsidRPr="00F377F7">
        <w:rPr>
          <w:color w:val="000000"/>
          <w:sz w:val="22"/>
          <w:szCs w:val="22"/>
        </w:rPr>
        <w:t>parties and caucus campaign committees,</w:t>
      </w:r>
      <w:r w:rsidR="00C209FB" w:rsidRPr="00F377F7">
        <w:rPr>
          <w:rStyle w:val="FootnoteReference"/>
          <w:color w:val="000000"/>
          <w:sz w:val="22"/>
          <w:szCs w:val="22"/>
        </w:rPr>
        <w:footnoteReference w:id="2"/>
      </w:r>
      <w:r w:rsidRPr="00F377F7">
        <w:rPr>
          <w:color w:val="000000"/>
          <w:sz w:val="22"/>
          <w:szCs w:val="22"/>
        </w:rPr>
        <w:t xml:space="preserve"> as donors could otherwise evade the</w:t>
      </w:r>
      <w:r w:rsidR="00C209FB" w:rsidRPr="00F377F7">
        <w:rPr>
          <w:color w:val="000000"/>
          <w:sz w:val="22"/>
          <w:szCs w:val="22"/>
        </w:rPr>
        <w:t xml:space="preserve"> </w:t>
      </w:r>
      <w:r w:rsidRPr="00F377F7">
        <w:rPr>
          <w:color w:val="000000"/>
          <w:sz w:val="22"/>
          <w:szCs w:val="22"/>
        </w:rPr>
        <w:t>limits by making substantial coordinated expenditures with those entities.</w:t>
      </w:r>
    </w:p>
    <w:p w:rsidR="00141292" w:rsidRPr="00F377F7" w:rsidRDefault="00141292" w:rsidP="00265186">
      <w:pPr>
        <w:autoSpaceDE w:val="0"/>
        <w:autoSpaceDN w:val="0"/>
        <w:adjustRightInd w:val="0"/>
        <w:rPr>
          <w:color w:val="000000"/>
          <w:sz w:val="22"/>
          <w:szCs w:val="22"/>
        </w:rPr>
      </w:pPr>
    </w:p>
    <w:p w:rsidR="00265186" w:rsidRPr="00F377F7" w:rsidRDefault="00265186" w:rsidP="00265186">
      <w:pPr>
        <w:autoSpaceDE w:val="0"/>
        <w:autoSpaceDN w:val="0"/>
        <w:adjustRightInd w:val="0"/>
        <w:rPr>
          <w:color w:val="000000"/>
          <w:sz w:val="22"/>
          <w:szCs w:val="22"/>
        </w:rPr>
      </w:pPr>
      <w:r w:rsidRPr="00F377F7">
        <w:rPr>
          <w:color w:val="000000"/>
          <w:sz w:val="22"/>
          <w:szCs w:val="22"/>
        </w:rPr>
        <w:t>In addition to covering coordination w</w:t>
      </w:r>
      <w:r w:rsidR="00141292" w:rsidRPr="00F377F7">
        <w:rPr>
          <w:color w:val="000000"/>
          <w:sz w:val="22"/>
          <w:szCs w:val="22"/>
        </w:rPr>
        <w:t xml:space="preserve">ith parties and caucus campaign </w:t>
      </w:r>
      <w:r w:rsidRPr="00F377F7">
        <w:rPr>
          <w:color w:val="000000"/>
          <w:sz w:val="22"/>
          <w:szCs w:val="22"/>
        </w:rPr>
        <w:t>committees, the rule’s definition of “coordinated expenditure” should explicitly</w:t>
      </w:r>
      <w:r w:rsidR="00141292" w:rsidRPr="00F377F7">
        <w:rPr>
          <w:color w:val="000000"/>
          <w:sz w:val="22"/>
          <w:szCs w:val="22"/>
        </w:rPr>
        <w:t xml:space="preserve"> </w:t>
      </w:r>
      <w:r w:rsidRPr="00F377F7">
        <w:rPr>
          <w:color w:val="000000"/>
          <w:sz w:val="22"/>
          <w:szCs w:val="22"/>
        </w:rPr>
        <w:t>include “electioneering communications” made in coordination with a candidate,</w:t>
      </w:r>
      <w:r w:rsidR="00141292" w:rsidRPr="00F377F7">
        <w:rPr>
          <w:color w:val="000000"/>
          <w:sz w:val="22"/>
          <w:szCs w:val="22"/>
        </w:rPr>
        <w:t xml:space="preserve"> </w:t>
      </w:r>
      <w:r w:rsidRPr="00F377F7">
        <w:rPr>
          <w:color w:val="000000"/>
          <w:sz w:val="22"/>
          <w:szCs w:val="22"/>
        </w:rPr>
        <w:t>political party committee, or caucus campaign committee. While electioneering</w:t>
      </w:r>
      <w:r w:rsidR="00141292" w:rsidRPr="00F377F7">
        <w:rPr>
          <w:color w:val="000000"/>
          <w:sz w:val="22"/>
          <w:szCs w:val="22"/>
        </w:rPr>
        <w:t xml:space="preserve"> </w:t>
      </w:r>
      <w:r w:rsidRPr="00F377F7">
        <w:rPr>
          <w:color w:val="000000"/>
          <w:sz w:val="22"/>
          <w:szCs w:val="22"/>
        </w:rPr>
        <w:t>communications are not subject to limits under the Code, these communications</w:t>
      </w:r>
      <w:r w:rsidR="00141292" w:rsidRPr="00F377F7">
        <w:rPr>
          <w:color w:val="000000"/>
          <w:sz w:val="22"/>
          <w:szCs w:val="22"/>
        </w:rPr>
        <w:t xml:space="preserve"> </w:t>
      </w:r>
      <w:r w:rsidRPr="00F377F7">
        <w:rPr>
          <w:color w:val="000000"/>
          <w:sz w:val="22"/>
          <w:szCs w:val="22"/>
        </w:rPr>
        <w:t>often take a clear position on a candidate’s fitness for elected office, even if they do</w:t>
      </w:r>
      <w:r w:rsidR="00141292" w:rsidRPr="00F377F7">
        <w:rPr>
          <w:color w:val="000000"/>
          <w:sz w:val="22"/>
          <w:szCs w:val="22"/>
        </w:rPr>
        <w:t xml:space="preserve"> </w:t>
      </w:r>
      <w:r w:rsidRPr="00F377F7">
        <w:rPr>
          <w:color w:val="000000"/>
          <w:sz w:val="22"/>
          <w:szCs w:val="22"/>
        </w:rPr>
        <w:t>not include express advocacy for or against the candidate’s election.</w:t>
      </w:r>
      <w:r w:rsidR="00C209FB" w:rsidRPr="00F377F7">
        <w:rPr>
          <w:rStyle w:val="FootnoteReference"/>
          <w:color w:val="000000"/>
          <w:sz w:val="22"/>
          <w:szCs w:val="22"/>
        </w:rPr>
        <w:footnoteReference w:id="3"/>
      </w:r>
      <w:r w:rsidRPr="00F377F7">
        <w:rPr>
          <w:color w:val="000000"/>
          <w:sz w:val="22"/>
          <w:szCs w:val="22"/>
        </w:rPr>
        <w:t xml:space="preserve"> Moreover,</w:t>
      </w:r>
      <w:r w:rsidR="00141292" w:rsidRPr="00F377F7">
        <w:rPr>
          <w:color w:val="000000"/>
          <w:sz w:val="22"/>
          <w:szCs w:val="22"/>
        </w:rPr>
        <w:t xml:space="preserve"> </w:t>
      </w:r>
      <w:r w:rsidRPr="00F377F7">
        <w:rPr>
          <w:color w:val="000000"/>
          <w:sz w:val="22"/>
          <w:szCs w:val="22"/>
        </w:rPr>
        <w:t xml:space="preserve">electioneering communications </w:t>
      </w:r>
      <w:proofErr w:type="gramStart"/>
      <w:r w:rsidRPr="00F377F7">
        <w:rPr>
          <w:color w:val="000000"/>
          <w:sz w:val="22"/>
          <w:szCs w:val="22"/>
        </w:rPr>
        <w:t>are publicl</w:t>
      </w:r>
      <w:r w:rsidR="00C209FB" w:rsidRPr="00F377F7">
        <w:rPr>
          <w:color w:val="000000"/>
          <w:sz w:val="22"/>
          <w:szCs w:val="22"/>
        </w:rPr>
        <w:t>y disseminated</w:t>
      </w:r>
      <w:proofErr w:type="gramEnd"/>
      <w:r w:rsidR="00C209FB" w:rsidRPr="00F377F7">
        <w:rPr>
          <w:color w:val="000000"/>
          <w:sz w:val="22"/>
          <w:szCs w:val="22"/>
        </w:rPr>
        <w:t xml:space="preserve"> in the immediate </w:t>
      </w:r>
      <w:r w:rsidRPr="00F377F7">
        <w:rPr>
          <w:color w:val="000000"/>
          <w:sz w:val="22"/>
          <w:szCs w:val="22"/>
        </w:rPr>
        <w:t>timeframe before a primary or general election, increasing the likelihood the</w:t>
      </w:r>
      <w:r w:rsidR="00141292" w:rsidRPr="00F377F7">
        <w:rPr>
          <w:color w:val="000000"/>
          <w:sz w:val="22"/>
          <w:szCs w:val="22"/>
        </w:rPr>
        <w:t xml:space="preserve"> </w:t>
      </w:r>
      <w:r w:rsidRPr="00F377F7">
        <w:rPr>
          <w:color w:val="000000"/>
          <w:sz w:val="22"/>
          <w:szCs w:val="22"/>
        </w:rPr>
        <w:t>communications will affect voters’ decisions at the polls.</w:t>
      </w:r>
      <w:r w:rsidR="00141292" w:rsidRPr="00F377F7">
        <w:rPr>
          <w:rStyle w:val="FootnoteReference"/>
          <w:color w:val="000000"/>
          <w:sz w:val="22"/>
          <w:szCs w:val="22"/>
        </w:rPr>
        <w:footnoteReference w:id="4"/>
      </w:r>
    </w:p>
    <w:p w:rsidR="00141292" w:rsidRPr="00F377F7" w:rsidRDefault="00141292" w:rsidP="00265186">
      <w:pPr>
        <w:autoSpaceDE w:val="0"/>
        <w:autoSpaceDN w:val="0"/>
        <w:adjustRightInd w:val="0"/>
        <w:rPr>
          <w:color w:val="000000"/>
          <w:sz w:val="22"/>
          <w:szCs w:val="22"/>
        </w:rPr>
      </w:pPr>
    </w:p>
    <w:p w:rsidR="00265186" w:rsidRPr="00F377F7" w:rsidRDefault="00265186" w:rsidP="00265186">
      <w:pPr>
        <w:autoSpaceDE w:val="0"/>
        <w:autoSpaceDN w:val="0"/>
        <w:adjustRightInd w:val="0"/>
        <w:rPr>
          <w:color w:val="000000"/>
          <w:sz w:val="22"/>
          <w:szCs w:val="22"/>
        </w:rPr>
      </w:pPr>
      <w:r w:rsidRPr="00F377F7">
        <w:rPr>
          <w:color w:val="000000"/>
          <w:sz w:val="22"/>
          <w:szCs w:val="22"/>
        </w:rPr>
        <w:t>The inclusion of electioneering communications in the rule’s definition of</w:t>
      </w:r>
      <w:r w:rsidR="00141292" w:rsidRPr="00F377F7">
        <w:rPr>
          <w:color w:val="000000"/>
          <w:sz w:val="22"/>
          <w:szCs w:val="22"/>
        </w:rPr>
        <w:t xml:space="preserve"> </w:t>
      </w:r>
      <w:r w:rsidRPr="00F377F7">
        <w:rPr>
          <w:color w:val="000000"/>
          <w:sz w:val="22"/>
          <w:szCs w:val="22"/>
        </w:rPr>
        <w:t>“coordinated expenditure” would serve to safeguard against a candidate or political</w:t>
      </w:r>
      <w:r w:rsidR="00141292" w:rsidRPr="00F377F7">
        <w:rPr>
          <w:color w:val="000000"/>
          <w:sz w:val="22"/>
          <w:szCs w:val="22"/>
        </w:rPr>
        <w:t xml:space="preserve"> </w:t>
      </w:r>
      <w:r w:rsidRPr="00F377F7">
        <w:rPr>
          <w:color w:val="000000"/>
          <w:sz w:val="22"/>
          <w:szCs w:val="22"/>
        </w:rPr>
        <w:t>party conducting a substantial electioneering communication advertising campaign</w:t>
      </w:r>
      <w:r w:rsidR="00141292" w:rsidRPr="00F377F7">
        <w:rPr>
          <w:color w:val="000000"/>
          <w:sz w:val="22"/>
          <w:szCs w:val="22"/>
        </w:rPr>
        <w:t xml:space="preserve"> </w:t>
      </w:r>
      <w:r w:rsidRPr="00F377F7">
        <w:rPr>
          <w:color w:val="000000"/>
          <w:sz w:val="22"/>
          <w:szCs w:val="22"/>
        </w:rPr>
        <w:t>in conjunction with an outside group in order to circumvent the Code’s contribution</w:t>
      </w:r>
      <w:r w:rsidR="00141292" w:rsidRPr="00F377F7">
        <w:rPr>
          <w:color w:val="000000"/>
          <w:sz w:val="22"/>
          <w:szCs w:val="22"/>
        </w:rPr>
        <w:t xml:space="preserve"> </w:t>
      </w:r>
      <w:r w:rsidRPr="00F377F7">
        <w:rPr>
          <w:color w:val="000000"/>
          <w:sz w:val="22"/>
          <w:szCs w:val="22"/>
        </w:rPr>
        <w:t>limits. At the federal level, the Federal Election Commission (“FEC”) has included</w:t>
      </w:r>
      <w:r w:rsidR="00141292" w:rsidRPr="00F377F7">
        <w:rPr>
          <w:color w:val="000000"/>
          <w:sz w:val="22"/>
          <w:szCs w:val="22"/>
        </w:rPr>
        <w:t xml:space="preserve"> </w:t>
      </w:r>
      <w:r w:rsidRPr="00F377F7">
        <w:rPr>
          <w:color w:val="000000"/>
          <w:sz w:val="22"/>
          <w:szCs w:val="22"/>
        </w:rPr>
        <w:t>coordinated “electioneering communications” within its regulations on coordination,</w:t>
      </w:r>
      <w:r w:rsidR="00141292" w:rsidRPr="00F377F7">
        <w:rPr>
          <w:color w:val="000000"/>
          <w:sz w:val="22"/>
          <w:szCs w:val="22"/>
        </w:rPr>
        <w:t xml:space="preserve"> </w:t>
      </w:r>
      <w:r w:rsidRPr="00F377F7">
        <w:rPr>
          <w:color w:val="000000"/>
          <w:sz w:val="22"/>
          <w:szCs w:val="22"/>
        </w:rPr>
        <w:t>in accordance with the coordination standards in federal election law.</w:t>
      </w:r>
      <w:r w:rsidR="00141292" w:rsidRPr="00F377F7">
        <w:rPr>
          <w:rStyle w:val="FootnoteReference"/>
          <w:color w:val="000000"/>
          <w:sz w:val="22"/>
          <w:szCs w:val="22"/>
        </w:rPr>
        <w:footnoteReference w:id="5"/>
      </w:r>
      <w:r w:rsidRPr="00F377F7">
        <w:rPr>
          <w:color w:val="000000"/>
          <w:sz w:val="22"/>
          <w:szCs w:val="22"/>
        </w:rPr>
        <w:t xml:space="preserve"> Thus, we</w:t>
      </w:r>
      <w:r w:rsidR="00141292" w:rsidRPr="00F377F7">
        <w:rPr>
          <w:color w:val="000000"/>
          <w:sz w:val="22"/>
          <w:szCs w:val="22"/>
        </w:rPr>
        <w:t xml:space="preserve"> </w:t>
      </w:r>
      <w:r w:rsidRPr="00F377F7">
        <w:rPr>
          <w:color w:val="000000"/>
          <w:sz w:val="22"/>
          <w:szCs w:val="22"/>
        </w:rPr>
        <w:t xml:space="preserve">recommend including electioneering communications within the final </w:t>
      </w:r>
      <w:proofErr w:type="gramStart"/>
      <w:r w:rsidRPr="00F377F7">
        <w:rPr>
          <w:color w:val="000000"/>
          <w:sz w:val="22"/>
          <w:szCs w:val="22"/>
        </w:rPr>
        <w:t>rule’s</w:t>
      </w:r>
      <w:proofErr w:type="gramEnd"/>
    </w:p>
    <w:p w:rsidR="00265186" w:rsidRPr="00F377F7" w:rsidRDefault="00265186" w:rsidP="00265186">
      <w:pPr>
        <w:autoSpaceDE w:val="0"/>
        <w:autoSpaceDN w:val="0"/>
        <w:adjustRightInd w:val="0"/>
        <w:rPr>
          <w:color w:val="000000"/>
          <w:sz w:val="22"/>
          <w:szCs w:val="22"/>
        </w:rPr>
      </w:pPr>
      <w:proofErr w:type="gramStart"/>
      <w:r w:rsidRPr="00F377F7">
        <w:rPr>
          <w:color w:val="000000"/>
          <w:sz w:val="22"/>
          <w:szCs w:val="22"/>
        </w:rPr>
        <w:t>definition</w:t>
      </w:r>
      <w:proofErr w:type="gramEnd"/>
      <w:r w:rsidRPr="00F377F7">
        <w:rPr>
          <w:color w:val="000000"/>
          <w:sz w:val="22"/>
          <w:szCs w:val="22"/>
        </w:rPr>
        <w:t xml:space="preserve"> of “coordinated expenditure.”</w:t>
      </w:r>
    </w:p>
    <w:p w:rsidR="00141292" w:rsidRPr="00F377F7" w:rsidRDefault="00141292" w:rsidP="00265186">
      <w:pPr>
        <w:autoSpaceDE w:val="0"/>
        <w:autoSpaceDN w:val="0"/>
        <w:adjustRightInd w:val="0"/>
        <w:rPr>
          <w:color w:val="000000"/>
          <w:sz w:val="22"/>
          <w:szCs w:val="22"/>
        </w:rPr>
      </w:pPr>
    </w:p>
    <w:p w:rsidR="00137DB0" w:rsidRPr="00F377F7" w:rsidRDefault="00137DB0" w:rsidP="00137DB0">
      <w:pPr>
        <w:autoSpaceDE w:val="0"/>
        <w:autoSpaceDN w:val="0"/>
        <w:adjustRightInd w:val="0"/>
        <w:rPr>
          <w:b/>
          <w:color w:val="000000"/>
          <w:sz w:val="22"/>
          <w:szCs w:val="22"/>
        </w:rPr>
      </w:pPr>
      <w:r w:rsidRPr="00F377F7">
        <w:rPr>
          <w:b/>
          <w:color w:val="000000"/>
          <w:sz w:val="22"/>
          <w:szCs w:val="22"/>
        </w:rPr>
        <w:t>RESPONSE:</w:t>
      </w:r>
    </w:p>
    <w:p w:rsidR="00137DB0" w:rsidRPr="00F377F7" w:rsidRDefault="00137DB0" w:rsidP="00137DB0">
      <w:pPr>
        <w:autoSpaceDE w:val="0"/>
        <w:autoSpaceDN w:val="0"/>
        <w:adjustRightInd w:val="0"/>
        <w:rPr>
          <w:color w:val="000000"/>
          <w:sz w:val="22"/>
          <w:szCs w:val="22"/>
        </w:rPr>
      </w:pPr>
    </w:p>
    <w:p w:rsidR="00137DB0" w:rsidRPr="00F377F7" w:rsidRDefault="006A5DE9" w:rsidP="00DF6C88">
      <w:pPr>
        <w:autoSpaceDE w:val="0"/>
        <w:autoSpaceDN w:val="0"/>
        <w:adjustRightInd w:val="0"/>
        <w:rPr>
          <w:b/>
          <w:color w:val="000000"/>
          <w:sz w:val="22"/>
          <w:szCs w:val="22"/>
        </w:rPr>
      </w:pPr>
      <w:r>
        <w:rPr>
          <w:b/>
          <w:color w:val="000000"/>
          <w:sz w:val="22"/>
          <w:szCs w:val="22"/>
        </w:rPr>
        <w:t>CSR § 146-3-2.9</w:t>
      </w:r>
      <w:r w:rsidR="00137DB0" w:rsidRPr="00F377F7">
        <w:rPr>
          <w:b/>
          <w:color w:val="000000"/>
          <w:sz w:val="22"/>
          <w:szCs w:val="22"/>
        </w:rPr>
        <w:t xml:space="preserve"> </w:t>
      </w:r>
      <w:r w:rsidR="00D64E12" w:rsidRPr="00F377F7">
        <w:rPr>
          <w:b/>
          <w:color w:val="000000"/>
          <w:sz w:val="22"/>
          <w:szCs w:val="22"/>
        </w:rPr>
        <w:t xml:space="preserve">will be amended </w:t>
      </w:r>
      <w:r w:rsidR="00137DB0" w:rsidRPr="00F377F7">
        <w:rPr>
          <w:b/>
          <w:color w:val="000000"/>
          <w:sz w:val="22"/>
          <w:szCs w:val="22"/>
        </w:rPr>
        <w:t xml:space="preserve">to incorporate </w:t>
      </w:r>
      <w:r w:rsidR="00DF6C88" w:rsidRPr="00F377F7">
        <w:rPr>
          <w:b/>
          <w:color w:val="000000"/>
          <w:sz w:val="22"/>
          <w:szCs w:val="22"/>
        </w:rPr>
        <w:t xml:space="preserve">by reference </w:t>
      </w:r>
      <w:r w:rsidR="00137DB0" w:rsidRPr="00F377F7">
        <w:rPr>
          <w:b/>
          <w:color w:val="000000"/>
          <w:sz w:val="22"/>
          <w:szCs w:val="22"/>
        </w:rPr>
        <w:t>CSR § 146-3-14</w:t>
      </w:r>
      <w:r w:rsidR="00DF6C88" w:rsidRPr="00F377F7">
        <w:rPr>
          <w:b/>
          <w:color w:val="000000"/>
          <w:sz w:val="22"/>
          <w:szCs w:val="22"/>
        </w:rPr>
        <w:t>. Additionally, “electioneering communications” will be added to CSR § 146-3-14.</w:t>
      </w:r>
    </w:p>
    <w:p w:rsidR="00137DB0" w:rsidRPr="00F377F7" w:rsidRDefault="00137DB0" w:rsidP="00265186">
      <w:pPr>
        <w:autoSpaceDE w:val="0"/>
        <w:autoSpaceDN w:val="0"/>
        <w:adjustRightInd w:val="0"/>
        <w:rPr>
          <w:color w:val="000000"/>
          <w:sz w:val="22"/>
          <w:szCs w:val="22"/>
        </w:rPr>
      </w:pPr>
    </w:p>
    <w:p w:rsidR="00265186" w:rsidRPr="00F377F7" w:rsidRDefault="00265186" w:rsidP="00141292">
      <w:pPr>
        <w:pStyle w:val="ListParagraph"/>
        <w:numPr>
          <w:ilvl w:val="1"/>
          <w:numId w:val="3"/>
        </w:numPr>
        <w:autoSpaceDE w:val="0"/>
        <w:autoSpaceDN w:val="0"/>
        <w:adjustRightInd w:val="0"/>
        <w:rPr>
          <w:i/>
          <w:iCs/>
          <w:color w:val="000000"/>
          <w:sz w:val="22"/>
          <w:szCs w:val="22"/>
        </w:rPr>
      </w:pPr>
      <w:r w:rsidRPr="00F377F7">
        <w:rPr>
          <w:i/>
          <w:iCs/>
          <w:color w:val="000000"/>
          <w:sz w:val="22"/>
          <w:szCs w:val="22"/>
        </w:rPr>
        <w:t>Subsection 2.2</w:t>
      </w:r>
      <w:r w:rsidR="006A5DE9">
        <w:rPr>
          <w:i/>
          <w:iCs/>
          <w:color w:val="000000"/>
          <w:sz w:val="22"/>
          <w:szCs w:val="22"/>
        </w:rPr>
        <w:t>5</w:t>
      </w:r>
      <w:r w:rsidRPr="00F377F7">
        <w:rPr>
          <w:i/>
          <w:iCs/>
          <w:color w:val="000000"/>
          <w:sz w:val="22"/>
          <w:szCs w:val="22"/>
        </w:rPr>
        <w:t>. “Nonpolitical committee”</w:t>
      </w:r>
    </w:p>
    <w:p w:rsidR="00141292" w:rsidRPr="00F377F7" w:rsidRDefault="00141292" w:rsidP="00141292">
      <w:pPr>
        <w:pStyle w:val="ListParagraph"/>
        <w:autoSpaceDE w:val="0"/>
        <w:autoSpaceDN w:val="0"/>
        <w:adjustRightInd w:val="0"/>
        <w:ind w:left="1440"/>
        <w:rPr>
          <w:i/>
          <w:iCs/>
          <w:color w:val="000000"/>
          <w:sz w:val="22"/>
          <w:szCs w:val="22"/>
        </w:rPr>
      </w:pPr>
    </w:p>
    <w:p w:rsidR="00265186" w:rsidRPr="00F377F7" w:rsidRDefault="00265186" w:rsidP="00265186">
      <w:pPr>
        <w:autoSpaceDE w:val="0"/>
        <w:autoSpaceDN w:val="0"/>
        <w:adjustRightInd w:val="0"/>
        <w:rPr>
          <w:color w:val="000000"/>
          <w:sz w:val="22"/>
          <w:szCs w:val="22"/>
        </w:rPr>
      </w:pPr>
      <w:r w:rsidRPr="00F377F7">
        <w:rPr>
          <w:color w:val="000000"/>
          <w:sz w:val="22"/>
          <w:szCs w:val="22"/>
        </w:rPr>
        <w:t>The proposed rule defines “nonpolitical committee” as “a committee</w:t>
      </w:r>
      <w:r w:rsidR="00141292" w:rsidRPr="00F377F7">
        <w:rPr>
          <w:color w:val="000000"/>
          <w:sz w:val="22"/>
          <w:szCs w:val="22"/>
        </w:rPr>
        <w:t xml:space="preserve"> </w:t>
      </w:r>
      <w:r w:rsidRPr="00F377F7">
        <w:rPr>
          <w:color w:val="000000"/>
          <w:sz w:val="22"/>
          <w:szCs w:val="22"/>
        </w:rPr>
        <w:t>established with the primary purpose other than to support or oppose the</w:t>
      </w:r>
      <w:r w:rsidR="00141292" w:rsidRPr="00F377F7">
        <w:rPr>
          <w:color w:val="000000"/>
          <w:sz w:val="22"/>
          <w:szCs w:val="22"/>
        </w:rPr>
        <w:t xml:space="preserve"> </w:t>
      </w:r>
      <w:r w:rsidRPr="00F377F7">
        <w:rPr>
          <w:color w:val="000000"/>
          <w:sz w:val="22"/>
          <w:szCs w:val="22"/>
        </w:rPr>
        <w:t>nomination or election of one or more candidates and which does not meet the</w:t>
      </w:r>
      <w:r w:rsidR="00141292" w:rsidRPr="00F377F7">
        <w:rPr>
          <w:color w:val="000000"/>
          <w:sz w:val="22"/>
          <w:szCs w:val="22"/>
        </w:rPr>
        <w:t xml:space="preserve"> </w:t>
      </w:r>
      <w:r w:rsidRPr="00F377F7">
        <w:rPr>
          <w:color w:val="000000"/>
          <w:sz w:val="22"/>
          <w:szCs w:val="22"/>
        </w:rPr>
        <w:t>definition of a political</w:t>
      </w:r>
      <w:r w:rsidR="006A5DE9">
        <w:rPr>
          <w:color w:val="000000"/>
          <w:sz w:val="22"/>
          <w:szCs w:val="22"/>
        </w:rPr>
        <w:t xml:space="preserve"> committee per Subsection 2.30</w:t>
      </w:r>
      <w:r w:rsidRPr="00F377F7">
        <w:rPr>
          <w:color w:val="000000"/>
          <w:sz w:val="22"/>
          <w:szCs w:val="22"/>
        </w:rPr>
        <w:t xml:space="preserve"> of this Rule.”</w:t>
      </w:r>
    </w:p>
    <w:p w:rsidR="00141292" w:rsidRPr="00F377F7" w:rsidRDefault="00141292" w:rsidP="00265186">
      <w:pPr>
        <w:autoSpaceDE w:val="0"/>
        <w:autoSpaceDN w:val="0"/>
        <w:adjustRightInd w:val="0"/>
        <w:rPr>
          <w:color w:val="000000"/>
          <w:sz w:val="22"/>
          <w:szCs w:val="22"/>
        </w:rPr>
      </w:pPr>
    </w:p>
    <w:p w:rsidR="00265186" w:rsidRPr="00F377F7" w:rsidRDefault="00265186" w:rsidP="00265186">
      <w:pPr>
        <w:autoSpaceDE w:val="0"/>
        <w:autoSpaceDN w:val="0"/>
        <w:adjustRightInd w:val="0"/>
        <w:rPr>
          <w:color w:val="000000"/>
          <w:sz w:val="22"/>
          <w:szCs w:val="22"/>
        </w:rPr>
      </w:pPr>
      <w:r w:rsidRPr="00F377F7">
        <w:rPr>
          <w:color w:val="000000"/>
          <w:sz w:val="22"/>
          <w:szCs w:val="22"/>
        </w:rPr>
        <w:t xml:space="preserve">The purpose of this new regulatory definition is somewhat unclear. </w:t>
      </w:r>
      <w:proofErr w:type="gramStart"/>
      <w:r w:rsidRPr="00F377F7">
        <w:rPr>
          <w:color w:val="000000"/>
          <w:sz w:val="22"/>
          <w:szCs w:val="22"/>
        </w:rPr>
        <w:t>It is only</w:t>
      </w:r>
      <w:r w:rsidR="00141292" w:rsidRPr="00F377F7">
        <w:rPr>
          <w:color w:val="000000"/>
          <w:sz w:val="22"/>
          <w:szCs w:val="22"/>
        </w:rPr>
        <w:t xml:space="preserve"> </w:t>
      </w:r>
      <w:r w:rsidRPr="00F377F7">
        <w:rPr>
          <w:color w:val="000000"/>
          <w:sz w:val="22"/>
          <w:szCs w:val="22"/>
        </w:rPr>
        <w:t>referenced in two other sections of the proposed rule: once in the rule’s definition of</w:t>
      </w:r>
      <w:r w:rsidR="00141292" w:rsidRPr="00F377F7">
        <w:rPr>
          <w:color w:val="000000"/>
          <w:sz w:val="22"/>
          <w:szCs w:val="22"/>
        </w:rPr>
        <w:t xml:space="preserve"> </w:t>
      </w:r>
      <w:r w:rsidRPr="00F377F7">
        <w:rPr>
          <w:color w:val="000000"/>
          <w:sz w:val="22"/>
          <w:szCs w:val="22"/>
        </w:rPr>
        <w:t>“political committee,” which states “any committee that does not meet the definition</w:t>
      </w:r>
      <w:r w:rsidR="00141292" w:rsidRPr="00F377F7">
        <w:rPr>
          <w:color w:val="000000"/>
          <w:sz w:val="22"/>
          <w:szCs w:val="22"/>
        </w:rPr>
        <w:t xml:space="preserve"> </w:t>
      </w:r>
      <w:r w:rsidRPr="00F377F7">
        <w:rPr>
          <w:color w:val="000000"/>
          <w:sz w:val="22"/>
          <w:szCs w:val="22"/>
        </w:rPr>
        <w:t xml:space="preserve">of political committee shall be defined as a nonpolitical </w:t>
      </w:r>
      <w:r w:rsidRPr="00F377F7">
        <w:rPr>
          <w:color w:val="000000"/>
          <w:sz w:val="22"/>
          <w:szCs w:val="22"/>
        </w:rPr>
        <w:lastRenderedPageBreak/>
        <w:t>committee”; and then in §</w:t>
      </w:r>
      <w:r w:rsidR="00141292" w:rsidRPr="00F377F7">
        <w:rPr>
          <w:color w:val="000000"/>
          <w:sz w:val="22"/>
          <w:szCs w:val="22"/>
        </w:rPr>
        <w:t xml:space="preserve"> </w:t>
      </w:r>
      <w:r w:rsidRPr="00F377F7">
        <w:rPr>
          <w:color w:val="000000"/>
          <w:sz w:val="22"/>
          <w:szCs w:val="22"/>
        </w:rPr>
        <w:t>146-3-6.9, which specifies a “nonpolitical committee that is responsible for any fine</w:t>
      </w:r>
      <w:r w:rsidR="00141292" w:rsidRPr="00F377F7">
        <w:rPr>
          <w:color w:val="000000"/>
          <w:sz w:val="22"/>
          <w:szCs w:val="22"/>
        </w:rPr>
        <w:t xml:space="preserve"> </w:t>
      </w:r>
      <w:r w:rsidRPr="00F377F7">
        <w:rPr>
          <w:color w:val="000000"/>
          <w:sz w:val="22"/>
          <w:szCs w:val="22"/>
        </w:rPr>
        <w:t>imposed by the Secretary of State will be paid from general treasury funds of the</w:t>
      </w:r>
      <w:r w:rsidR="00141292" w:rsidRPr="00F377F7">
        <w:rPr>
          <w:color w:val="000000"/>
          <w:sz w:val="22"/>
          <w:szCs w:val="22"/>
        </w:rPr>
        <w:t xml:space="preserve"> </w:t>
      </w:r>
      <w:r w:rsidRPr="00F377F7">
        <w:rPr>
          <w:color w:val="000000"/>
          <w:sz w:val="22"/>
          <w:szCs w:val="22"/>
        </w:rPr>
        <w:t>nonpolitical committee.”</w:t>
      </w:r>
      <w:proofErr w:type="gramEnd"/>
      <w:r w:rsidRPr="00F377F7">
        <w:rPr>
          <w:color w:val="000000"/>
          <w:sz w:val="22"/>
          <w:szCs w:val="22"/>
        </w:rPr>
        <w:t xml:space="preserve"> S.B. 622 did not include the term, and “nonpolitical</w:t>
      </w:r>
      <w:r w:rsidR="00141292" w:rsidRPr="00F377F7">
        <w:rPr>
          <w:color w:val="000000"/>
          <w:sz w:val="22"/>
          <w:szCs w:val="22"/>
        </w:rPr>
        <w:t xml:space="preserve"> </w:t>
      </w:r>
      <w:r w:rsidRPr="00F377F7">
        <w:rPr>
          <w:color w:val="000000"/>
          <w:sz w:val="22"/>
          <w:szCs w:val="22"/>
        </w:rPr>
        <w:t xml:space="preserve">committees” </w:t>
      </w:r>
      <w:proofErr w:type="gramStart"/>
      <w:r w:rsidRPr="00F377F7">
        <w:rPr>
          <w:color w:val="000000"/>
          <w:sz w:val="22"/>
          <w:szCs w:val="22"/>
        </w:rPr>
        <w:t>are not mentioned</w:t>
      </w:r>
      <w:proofErr w:type="gramEnd"/>
      <w:r w:rsidRPr="00F377F7">
        <w:rPr>
          <w:color w:val="000000"/>
          <w:sz w:val="22"/>
          <w:szCs w:val="22"/>
        </w:rPr>
        <w:t xml:space="preserve"> in the Code.</w:t>
      </w:r>
    </w:p>
    <w:p w:rsidR="00141292" w:rsidRPr="00F377F7" w:rsidRDefault="00141292" w:rsidP="00265186">
      <w:pPr>
        <w:autoSpaceDE w:val="0"/>
        <w:autoSpaceDN w:val="0"/>
        <w:adjustRightInd w:val="0"/>
        <w:rPr>
          <w:color w:val="000000"/>
          <w:sz w:val="22"/>
          <w:szCs w:val="22"/>
        </w:rPr>
      </w:pPr>
    </w:p>
    <w:p w:rsidR="00265186" w:rsidRPr="00F377F7" w:rsidRDefault="00265186" w:rsidP="00265186">
      <w:pPr>
        <w:autoSpaceDE w:val="0"/>
        <w:autoSpaceDN w:val="0"/>
        <w:adjustRightInd w:val="0"/>
        <w:rPr>
          <w:color w:val="000000"/>
          <w:sz w:val="22"/>
          <w:szCs w:val="22"/>
        </w:rPr>
      </w:pPr>
      <w:r w:rsidRPr="00F377F7">
        <w:rPr>
          <w:color w:val="000000"/>
          <w:sz w:val="22"/>
          <w:szCs w:val="22"/>
        </w:rPr>
        <w:t xml:space="preserve">If “nonpolitical committee” </w:t>
      </w:r>
      <w:proofErr w:type="gramStart"/>
      <w:r w:rsidRPr="00F377F7">
        <w:rPr>
          <w:color w:val="000000"/>
          <w:sz w:val="22"/>
          <w:szCs w:val="22"/>
        </w:rPr>
        <w:t>is meant</w:t>
      </w:r>
      <w:proofErr w:type="gramEnd"/>
      <w:r w:rsidRPr="00F377F7">
        <w:rPr>
          <w:color w:val="000000"/>
          <w:sz w:val="22"/>
          <w:szCs w:val="22"/>
        </w:rPr>
        <w:t xml:space="preserve"> to be a cat</w:t>
      </w:r>
      <w:r w:rsidR="00141292" w:rsidRPr="00F377F7">
        <w:rPr>
          <w:color w:val="000000"/>
          <w:sz w:val="22"/>
          <w:szCs w:val="22"/>
        </w:rPr>
        <w:t xml:space="preserve">chall for any organization that </w:t>
      </w:r>
      <w:r w:rsidRPr="00F377F7">
        <w:rPr>
          <w:color w:val="000000"/>
          <w:sz w:val="22"/>
          <w:szCs w:val="22"/>
        </w:rPr>
        <w:t>does not qualify as a “political action committee,” it may be preferable to use a more</w:t>
      </w:r>
      <w:r w:rsidR="00141292" w:rsidRPr="00F377F7">
        <w:rPr>
          <w:color w:val="000000"/>
          <w:sz w:val="22"/>
          <w:szCs w:val="22"/>
        </w:rPr>
        <w:t xml:space="preserve"> </w:t>
      </w:r>
      <w:r w:rsidRPr="00F377F7">
        <w:rPr>
          <w:color w:val="000000"/>
          <w:sz w:val="22"/>
          <w:szCs w:val="22"/>
        </w:rPr>
        <w:t>neutral term, such as “entity” or “person,”</w:t>
      </w:r>
      <w:r w:rsidR="00141292" w:rsidRPr="00F377F7">
        <w:rPr>
          <w:rStyle w:val="FootnoteReference"/>
          <w:color w:val="000000"/>
          <w:sz w:val="22"/>
          <w:szCs w:val="22"/>
        </w:rPr>
        <w:footnoteReference w:id="6"/>
      </w:r>
      <w:r w:rsidRPr="00F377F7">
        <w:rPr>
          <w:color w:val="000000"/>
          <w:sz w:val="22"/>
          <w:szCs w:val="22"/>
        </w:rPr>
        <w:t xml:space="preserve"> in order to more clearly distinguish</w:t>
      </w:r>
      <w:r w:rsidR="00141292" w:rsidRPr="00F377F7">
        <w:rPr>
          <w:color w:val="000000"/>
          <w:sz w:val="22"/>
          <w:szCs w:val="22"/>
        </w:rPr>
        <w:t xml:space="preserve"> </w:t>
      </w:r>
      <w:r w:rsidRPr="00F377F7">
        <w:rPr>
          <w:color w:val="000000"/>
          <w:sz w:val="22"/>
          <w:szCs w:val="22"/>
        </w:rPr>
        <w:t>between political committees and non-committee groups within the rule.</w:t>
      </w:r>
    </w:p>
    <w:p w:rsidR="00141292" w:rsidRPr="00F377F7" w:rsidRDefault="00141292" w:rsidP="00265186">
      <w:pPr>
        <w:autoSpaceDE w:val="0"/>
        <w:autoSpaceDN w:val="0"/>
        <w:adjustRightInd w:val="0"/>
        <w:rPr>
          <w:color w:val="000000"/>
          <w:sz w:val="22"/>
          <w:szCs w:val="22"/>
        </w:rPr>
      </w:pPr>
    </w:p>
    <w:p w:rsidR="00137DB0" w:rsidRPr="00F377F7" w:rsidRDefault="00137DB0" w:rsidP="00137DB0">
      <w:pPr>
        <w:autoSpaceDE w:val="0"/>
        <w:autoSpaceDN w:val="0"/>
        <w:adjustRightInd w:val="0"/>
        <w:rPr>
          <w:b/>
          <w:color w:val="000000"/>
          <w:sz w:val="22"/>
          <w:szCs w:val="22"/>
        </w:rPr>
      </w:pPr>
      <w:r w:rsidRPr="00F377F7">
        <w:rPr>
          <w:b/>
          <w:color w:val="000000"/>
          <w:sz w:val="22"/>
          <w:szCs w:val="22"/>
        </w:rPr>
        <w:t>RESPONSE:</w:t>
      </w:r>
    </w:p>
    <w:p w:rsidR="00137DB0" w:rsidRPr="00F377F7" w:rsidRDefault="00137DB0" w:rsidP="00137DB0">
      <w:pPr>
        <w:autoSpaceDE w:val="0"/>
        <w:autoSpaceDN w:val="0"/>
        <w:adjustRightInd w:val="0"/>
        <w:rPr>
          <w:color w:val="000000"/>
          <w:sz w:val="22"/>
          <w:szCs w:val="22"/>
        </w:rPr>
      </w:pPr>
    </w:p>
    <w:p w:rsidR="00137DB0" w:rsidRPr="00F377F7" w:rsidRDefault="00D64E12" w:rsidP="00265186">
      <w:pPr>
        <w:autoSpaceDE w:val="0"/>
        <w:autoSpaceDN w:val="0"/>
        <w:adjustRightInd w:val="0"/>
        <w:rPr>
          <w:b/>
          <w:color w:val="000000"/>
          <w:sz w:val="22"/>
          <w:szCs w:val="22"/>
        </w:rPr>
      </w:pPr>
      <w:r w:rsidRPr="00F377F7">
        <w:rPr>
          <w:b/>
          <w:color w:val="000000"/>
          <w:sz w:val="22"/>
          <w:szCs w:val="22"/>
        </w:rPr>
        <w:t>T</w:t>
      </w:r>
      <w:r w:rsidR="00DF6C88" w:rsidRPr="00F377F7">
        <w:rPr>
          <w:b/>
          <w:color w:val="000000"/>
          <w:sz w:val="22"/>
          <w:szCs w:val="22"/>
        </w:rPr>
        <w:t>he term “nonpolitical committee” is a sufficient term for convenient reference</w:t>
      </w:r>
      <w:r w:rsidRPr="00F377F7">
        <w:rPr>
          <w:b/>
          <w:color w:val="000000"/>
          <w:sz w:val="22"/>
          <w:szCs w:val="22"/>
        </w:rPr>
        <w:t xml:space="preserve"> to an organization that does not qualify as a “political action committee</w:t>
      </w:r>
      <w:r w:rsidR="0041213D" w:rsidRPr="00F377F7">
        <w:rPr>
          <w:b/>
          <w:color w:val="000000"/>
          <w:sz w:val="22"/>
          <w:szCs w:val="22"/>
        </w:rPr>
        <w:t>.</w:t>
      </w:r>
      <w:r w:rsidRPr="00F377F7">
        <w:rPr>
          <w:b/>
          <w:color w:val="000000"/>
          <w:sz w:val="22"/>
          <w:szCs w:val="22"/>
        </w:rPr>
        <w:t xml:space="preserve">” </w:t>
      </w:r>
      <w:r w:rsidR="0041213D" w:rsidRPr="00F377F7">
        <w:rPr>
          <w:b/>
          <w:color w:val="000000"/>
          <w:sz w:val="22"/>
          <w:szCs w:val="22"/>
        </w:rPr>
        <w:t>N</w:t>
      </w:r>
      <w:r w:rsidRPr="00F377F7">
        <w:rPr>
          <w:b/>
          <w:color w:val="000000"/>
          <w:sz w:val="22"/>
          <w:szCs w:val="22"/>
        </w:rPr>
        <w:t xml:space="preserve">o action </w:t>
      </w:r>
      <w:proofErr w:type="gramStart"/>
      <w:r w:rsidRPr="00F377F7">
        <w:rPr>
          <w:b/>
          <w:color w:val="000000"/>
          <w:sz w:val="22"/>
          <w:szCs w:val="22"/>
        </w:rPr>
        <w:t>will be taken</w:t>
      </w:r>
      <w:proofErr w:type="gramEnd"/>
      <w:r w:rsidRPr="00F377F7">
        <w:rPr>
          <w:b/>
          <w:color w:val="000000"/>
          <w:sz w:val="22"/>
          <w:szCs w:val="22"/>
        </w:rPr>
        <w:t>.</w:t>
      </w:r>
      <w:r w:rsidR="00DF6C88" w:rsidRPr="00F377F7">
        <w:rPr>
          <w:b/>
          <w:color w:val="000000"/>
          <w:sz w:val="22"/>
          <w:szCs w:val="22"/>
        </w:rPr>
        <w:t xml:space="preserve"> </w:t>
      </w:r>
    </w:p>
    <w:p w:rsidR="00DF6C88" w:rsidRPr="00F377F7" w:rsidRDefault="00DF6C88" w:rsidP="00265186">
      <w:pPr>
        <w:autoSpaceDE w:val="0"/>
        <w:autoSpaceDN w:val="0"/>
        <w:adjustRightInd w:val="0"/>
        <w:rPr>
          <w:b/>
          <w:color w:val="000000"/>
          <w:sz w:val="22"/>
          <w:szCs w:val="22"/>
        </w:rPr>
      </w:pPr>
    </w:p>
    <w:p w:rsidR="00265186" w:rsidRPr="00F377F7" w:rsidRDefault="00265186" w:rsidP="00141292">
      <w:pPr>
        <w:pStyle w:val="ListParagraph"/>
        <w:numPr>
          <w:ilvl w:val="1"/>
          <w:numId w:val="3"/>
        </w:numPr>
        <w:autoSpaceDE w:val="0"/>
        <w:autoSpaceDN w:val="0"/>
        <w:adjustRightInd w:val="0"/>
        <w:rPr>
          <w:i/>
          <w:iCs/>
          <w:color w:val="000000"/>
          <w:sz w:val="22"/>
          <w:szCs w:val="22"/>
        </w:rPr>
      </w:pPr>
      <w:r w:rsidRPr="00F377F7">
        <w:rPr>
          <w:i/>
          <w:iCs/>
          <w:color w:val="000000"/>
          <w:sz w:val="22"/>
          <w:szCs w:val="22"/>
        </w:rPr>
        <w:t>Subsection 2.29. “Political Action Committee”</w:t>
      </w:r>
    </w:p>
    <w:p w:rsidR="00141292" w:rsidRPr="00F377F7" w:rsidRDefault="00141292" w:rsidP="00265186">
      <w:pPr>
        <w:autoSpaceDE w:val="0"/>
        <w:autoSpaceDN w:val="0"/>
        <w:adjustRightInd w:val="0"/>
        <w:rPr>
          <w:color w:val="000000"/>
          <w:sz w:val="22"/>
          <w:szCs w:val="22"/>
        </w:rPr>
      </w:pPr>
    </w:p>
    <w:p w:rsidR="00265186" w:rsidRPr="00F377F7" w:rsidRDefault="00265186" w:rsidP="00265186">
      <w:pPr>
        <w:autoSpaceDE w:val="0"/>
        <w:autoSpaceDN w:val="0"/>
        <w:adjustRightInd w:val="0"/>
        <w:rPr>
          <w:color w:val="000000"/>
          <w:sz w:val="22"/>
          <w:szCs w:val="22"/>
        </w:rPr>
      </w:pPr>
      <w:r w:rsidRPr="00F377F7">
        <w:rPr>
          <w:color w:val="000000"/>
          <w:sz w:val="22"/>
          <w:szCs w:val="22"/>
        </w:rPr>
        <w:t>The proposed rule defines “political action committee” (“PAC”), in relevant</w:t>
      </w:r>
      <w:r w:rsidR="00141292" w:rsidRPr="00F377F7">
        <w:rPr>
          <w:color w:val="000000"/>
          <w:sz w:val="22"/>
          <w:szCs w:val="22"/>
        </w:rPr>
        <w:t xml:space="preserve"> </w:t>
      </w:r>
      <w:r w:rsidRPr="00F377F7">
        <w:rPr>
          <w:color w:val="000000"/>
          <w:sz w:val="22"/>
          <w:szCs w:val="22"/>
        </w:rPr>
        <w:t>part, as “a committee of one or more persons unrelated by marriage, or any other</w:t>
      </w:r>
      <w:r w:rsidR="00141292" w:rsidRPr="00F377F7">
        <w:rPr>
          <w:color w:val="000000"/>
          <w:sz w:val="22"/>
          <w:szCs w:val="22"/>
        </w:rPr>
        <w:t xml:space="preserve"> </w:t>
      </w:r>
      <w:r w:rsidRPr="00F377F7">
        <w:rPr>
          <w:color w:val="000000"/>
          <w:sz w:val="22"/>
          <w:szCs w:val="22"/>
        </w:rPr>
        <w:t>organization or entity.” The definition of “political action committee” in the proposed</w:t>
      </w:r>
      <w:r w:rsidR="00141292" w:rsidRPr="00F377F7">
        <w:rPr>
          <w:color w:val="000000"/>
          <w:sz w:val="22"/>
          <w:szCs w:val="22"/>
        </w:rPr>
        <w:t xml:space="preserve"> </w:t>
      </w:r>
      <w:r w:rsidRPr="00F377F7">
        <w:rPr>
          <w:color w:val="000000"/>
          <w:sz w:val="22"/>
          <w:szCs w:val="22"/>
        </w:rPr>
        <w:t>rule differs from the Code’s definition, as amended by S.B. 622, in that it specifies a</w:t>
      </w:r>
      <w:r w:rsidR="00141292" w:rsidRPr="00F377F7">
        <w:rPr>
          <w:color w:val="000000"/>
          <w:sz w:val="22"/>
          <w:szCs w:val="22"/>
        </w:rPr>
        <w:t xml:space="preserve"> </w:t>
      </w:r>
      <w:r w:rsidRPr="00F377F7">
        <w:rPr>
          <w:color w:val="000000"/>
          <w:sz w:val="22"/>
          <w:szCs w:val="22"/>
        </w:rPr>
        <w:t xml:space="preserve">PAC consists of “one or more persons </w:t>
      </w:r>
      <w:r w:rsidRPr="00F377F7">
        <w:rPr>
          <w:i/>
          <w:iCs/>
          <w:color w:val="000000"/>
          <w:sz w:val="22"/>
          <w:szCs w:val="22"/>
        </w:rPr>
        <w:t>unrelated by marriage</w:t>
      </w:r>
      <w:r w:rsidRPr="00F377F7">
        <w:rPr>
          <w:color w:val="000000"/>
          <w:sz w:val="22"/>
          <w:szCs w:val="22"/>
        </w:rPr>
        <w:t>.”</w:t>
      </w:r>
      <w:r w:rsidR="00141292" w:rsidRPr="00F377F7">
        <w:rPr>
          <w:rStyle w:val="FootnoteReference"/>
          <w:color w:val="000000"/>
          <w:sz w:val="22"/>
          <w:szCs w:val="22"/>
        </w:rPr>
        <w:footnoteReference w:id="7"/>
      </w:r>
    </w:p>
    <w:p w:rsidR="00265186" w:rsidRPr="00F377F7" w:rsidRDefault="00265186" w:rsidP="00265186">
      <w:pPr>
        <w:autoSpaceDE w:val="0"/>
        <w:autoSpaceDN w:val="0"/>
        <w:adjustRightInd w:val="0"/>
        <w:rPr>
          <w:color w:val="000000"/>
          <w:sz w:val="22"/>
          <w:szCs w:val="22"/>
        </w:rPr>
      </w:pPr>
    </w:p>
    <w:p w:rsidR="00265186" w:rsidRPr="00F377F7" w:rsidRDefault="00265186" w:rsidP="00265186">
      <w:pPr>
        <w:autoSpaceDE w:val="0"/>
        <w:autoSpaceDN w:val="0"/>
        <w:adjustRightInd w:val="0"/>
        <w:rPr>
          <w:color w:val="000000"/>
          <w:sz w:val="22"/>
          <w:szCs w:val="22"/>
        </w:rPr>
      </w:pPr>
      <w:r w:rsidRPr="00F377F7">
        <w:rPr>
          <w:color w:val="000000"/>
          <w:sz w:val="22"/>
          <w:szCs w:val="22"/>
        </w:rPr>
        <w:t>To prevent creating a gap in the rule’s coverage of PACs formed by a group of</w:t>
      </w:r>
      <w:r w:rsidR="00141292" w:rsidRPr="00F377F7">
        <w:rPr>
          <w:color w:val="000000"/>
          <w:sz w:val="22"/>
          <w:szCs w:val="22"/>
        </w:rPr>
        <w:t xml:space="preserve"> </w:t>
      </w:r>
      <w:r w:rsidRPr="00F377F7">
        <w:rPr>
          <w:color w:val="000000"/>
          <w:sz w:val="22"/>
          <w:szCs w:val="22"/>
        </w:rPr>
        <w:t xml:space="preserve">individuals who </w:t>
      </w:r>
      <w:proofErr w:type="gramStart"/>
      <w:r w:rsidRPr="00F377F7">
        <w:rPr>
          <w:i/>
          <w:iCs/>
          <w:color w:val="000000"/>
          <w:sz w:val="22"/>
          <w:szCs w:val="22"/>
        </w:rPr>
        <w:t xml:space="preserve">are </w:t>
      </w:r>
      <w:r w:rsidRPr="00F377F7">
        <w:rPr>
          <w:color w:val="000000"/>
          <w:sz w:val="22"/>
          <w:szCs w:val="22"/>
        </w:rPr>
        <w:t>related</w:t>
      </w:r>
      <w:proofErr w:type="gramEnd"/>
      <w:r w:rsidRPr="00F377F7">
        <w:rPr>
          <w:color w:val="000000"/>
          <w:sz w:val="22"/>
          <w:szCs w:val="22"/>
        </w:rPr>
        <w:t xml:space="preserve"> by marriage, we recommend eliminating the “unrelated</w:t>
      </w:r>
      <w:r w:rsidR="00141292" w:rsidRPr="00F377F7">
        <w:rPr>
          <w:color w:val="000000"/>
          <w:sz w:val="22"/>
          <w:szCs w:val="22"/>
        </w:rPr>
        <w:t xml:space="preserve"> </w:t>
      </w:r>
      <w:r w:rsidRPr="00F377F7">
        <w:rPr>
          <w:color w:val="000000"/>
          <w:sz w:val="22"/>
          <w:szCs w:val="22"/>
        </w:rPr>
        <w:t>by marriage” language in the rule’s “political action committee” definition. That</w:t>
      </w:r>
      <w:r w:rsidR="00141292" w:rsidRPr="00F377F7">
        <w:rPr>
          <w:color w:val="000000"/>
          <w:sz w:val="22"/>
          <w:szCs w:val="22"/>
        </w:rPr>
        <w:t xml:space="preserve"> </w:t>
      </w:r>
      <w:r w:rsidRPr="00F377F7">
        <w:rPr>
          <w:color w:val="000000"/>
          <w:sz w:val="22"/>
          <w:szCs w:val="22"/>
        </w:rPr>
        <w:t>change would make the regulatory definition of PAC consistent with the term’s</w:t>
      </w:r>
      <w:r w:rsidR="00141292" w:rsidRPr="00F377F7">
        <w:rPr>
          <w:color w:val="000000"/>
          <w:sz w:val="22"/>
          <w:szCs w:val="22"/>
        </w:rPr>
        <w:t xml:space="preserve"> </w:t>
      </w:r>
      <w:r w:rsidRPr="00F377F7">
        <w:rPr>
          <w:color w:val="000000"/>
          <w:sz w:val="22"/>
          <w:szCs w:val="22"/>
        </w:rPr>
        <w:t>meaning in the Code, and help to ensure comprehensive regulation of all groups</w:t>
      </w:r>
      <w:r w:rsidR="00141292" w:rsidRPr="00F377F7">
        <w:rPr>
          <w:color w:val="000000"/>
          <w:sz w:val="22"/>
          <w:szCs w:val="22"/>
        </w:rPr>
        <w:t xml:space="preserve"> </w:t>
      </w:r>
      <w:r w:rsidRPr="00F377F7">
        <w:rPr>
          <w:color w:val="000000"/>
          <w:sz w:val="22"/>
          <w:szCs w:val="22"/>
        </w:rPr>
        <w:t>qualifying as PACs in West Virginia.</w:t>
      </w:r>
    </w:p>
    <w:p w:rsidR="00141292" w:rsidRPr="00F377F7" w:rsidRDefault="00141292" w:rsidP="00265186">
      <w:pPr>
        <w:autoSpaceDE w:val="0"/>
        <w:autoSpaceDN w:val="0"/>
        <w:adjustRightInd w:val="0"/>
        <w:rPr>
          <w:color w:val="000000"/>
          <w:sz w:val="22"/>
          <w:szCs w:val="22"/>
        </w:rPr>
      </w:pPr>
    </w:p>
    <w:p w:rsidR="00137DB0" w:rsidRPr="00F377F7" w:rsidRDefault="00137DB0" w:rsidP="00137DB0">
      <w:pPr>
        <w:autoSpaceDE w:val="0"/>
        <w:autoSpaceDN w:val="0"/>
        <w:adjustRightInd w:val="0"/>
        <w:rPr>
          <w:b/>
          <w:color w:val="000000"/>
          <w:sz w:val="22"/>
          <w:szCs w:val="22"/>
        </w:rPr>
      </w:pPr>
      <w:r w:rsidRPr="00F377F7">
        <w:rPr>
          <w:b/>
          <w:color w:val="000000"/>
          <w:sz w:val="22"/>
          <w:szCs w:val="22"/>
        </w:rPr>
        <w:t>RESPONSE:</w:t>
      </w:r>
    </w:p>
    <w:p w:rsidR="00137DB0" w:rsidRPr="00F377F7" w:rsidRDefault="00137DB0" w:rsidP="00137DB0">
      <w:pPr>
        <w:autoSpaceDE w:val="0"/>
        <w:autoSpaceDN w:val="0"/>
        <w:adjustRightInd w:val="0"/>
        <w:rPr>
          <w:color w:val="000000"/>
          <w:sz w:val="22"/>
          <w:szCs w:val="22"/>
        </w:rPr>
      </w:pPr>
    </w:p>
    <w:p w:rsidR="00D64E12" w:rsidRPr="00F377F7" w:rsidRDefault="00D64E12" w:rsidP="00D64E12">
      <w:pPr>
        <w:autoSpaceDE w:val="0"/>
        <w:autoSpaceDN w:val="0"/>
        <w:adjustRightInd w:val="0"/>
        <w:rPr>
          <w:b/>
          <w:color w:val="000000"/>
          <w:sz w:val="22"/>
          <w:szCs w:val="22"/>
        </w:rPr>
      </w:pPr>
      <w:r w:rsidRPr="00F377F7">
        <w:rPr>
          <w:b/>
          <w:color w:val="000000"/>
          <w:sz w:val="22"/>
          <w:szCs w:val="22"/>
        </w:rPr>
        <w:t xml:space="preserve">The category “unrelated by marriage” </w:t>
      </w:r>
      <w:proofErr w:type="gramStart"/>
      <w:r w:rsidRPr="00F377F7">
        <w:rPr>
          <w:b/>
          <w:color w:val="000000"/>
          <w:sz w:val="22"/>
          <w:szCs w:val="22"/>
        </w:rPr>
        <w:t>will be removed</w:t>
      </w:r>
      <w:proofErr w:type="gramEnd"/>
      <w:r w:rsidR="0041213D" w:rsidRPr="00F377F7">
        <w:rPr>
          <w:b/>
          <w:color w:val="000000"/>
          <w:sz w:val="22"/>
          <w:szCs w:val="22"/>
        </w:rPr>
        <w:t xml:space="preserve"> to remain consistent with the law</w:t>
      </w:r>
      <w:r w:rsidRPr="00F377F7">
        <w:rPr>
          <w:b/>
          <w:color w:val="000000"/>
          <w:sz w:val="22"/>
          <w:szCs w:val="22"/>
        </w:rPr>
        <w:t>.</w:t>
      </w:r>
    </w:p>
    <w:p w:rsidR="00137DB0" w:rsidRPr="00F377F7" w:rsidRDefault="00137DB0" w:rsidP="00265186">
      <w:pPr>
        <w:autoSpaceDE w:val="0"/>
        <w:autoSpaceDN w:val="0"/>
        <w:adjustRightInd w:val="0"/>
        <w:rPr>
          <w:b/>
          <w:color w:val="000000"/>
          <w:sz w:val="22"/>
          <w:szCs w:val="22"/>
        </w:rPr>
      </w:pPr>
    </w:p>
    <w:p w:rsidR="00265186" w:rsidRPr="00F377F7" w:rsidRDefault="00265186" w:rsidP="00141292">
      <w:pPr>
        <w:pStyle w:val="ListParagraph"/>
        <w:numPr>
          <w:ilvl w:val="1"/>
          <w:numId w:val="3"/>
        </w:numPr>
        <w:autoSpaceDE w:val="0"/>
        <w:autoSpaceDN w:val="0"/>
        <w:adjustRightInd w:val="0"/>
        <w:rPr>
          <w:i/>
          <w:iCs/>
          <w:color w:val="000000"/>
          <w:sz w:val="22"/>
          <w:szCs w:val="22"/>
        </w:rPr>
      </w:pPr>
      <w:r w:rsidRPr="00F377F7">
        <w:rPr>
          <w:i/>
          <w:iCs/>
          <w:color w:val="000000"/>
          <w:sz w:val="22"/>
          <w:szCs w:val="22"/>
        </w:rPr>
        <w:t>Subsection 2.2</w:t>
      </w:r>
      <w:r w:rsidR="006A5DE9">
        <w:rPr>
          <w:i/>
          <w:iCs/>
          <w:color w:val="000000"/>
          <w:sz w:val="22"/>
          <w:szCs w:val="22"/>
        </w:rPr>
        <w:t>8</w:t>
      </w:r>
      <w:r w:rsidRPr="00F377F7">
        <w:rPr>
          <w:i/>
          <w:iCs/>
          <w:color w:val="000000"/>
          <w:sz w:val="22"/>
          <w:szCs w:val="22"/>
        </w:rPr>
        <w:t>.1. “Primary Purpose”</w:t>
      </w:r>
    </w:p>
    <w:p w:rsidR="00141292" w:rsidRPr="00F377F7" w:rsidRDefault="00141292" w:rsidP="00141292">
      <w:pPr>
        <w:pStyle w:val="ListParagraph"/>
        <w:autoSpaceDE w:val="0"/>
        <w:autoSpaceDN w:val="0"/>
        <w:adjustRightInd w:val="0"/>
        <w:ind w:left="1440"/>
        <w:rPr>
          <w:i/>
          <w:iCs/>
          <w:color w:val="000000"/>
          <w:sz w:val="22"/>
          <w:szCs w:val="22"/>
        </w:rPr>
      </w:pPr>
    </w:p>
    <w:p w:rsidR="00265186" w:rsidRPr="00F377F7" w:rsidRDefault="00265186" w:rsidP="00265186">
      <w:pPr>
        <w:autoSpaceDE w:val="0"/>
        <w:autoSpaceDN w:val="0"/>
        <w:adjustRightInd w:val="0"/>
        <w:rPr>
          <w:color w:val="000000"/>
          <w:sz w:val="22"/>
          <w:szCs w:val="22"/>
        </w:rPr>
      </w:pPr>
      <w:proofErr w:type="gramStart"/>
      <w:r w:rsidRPr="00F377F7">
        <w:rPr>
          <w:color w:val="000000"/>
          <w:sz w:val="22"/>
          <w:szCs w:val="22"/>
        </w:rPr>
        <w:t>In accordance with S.B. 622’s amendments to the statutory definition of</w:t>
      </w:r>
      <w:r w:rsidR="00141292" w:rsidRPr="00F377F7">
        <w:rPr>
          <w:color w:val="000000"/>
          <w:sz w:val="22"/>
          <w:szCs w:val="22"/>
        </w:rPr>
        <w:t xml:space="preserve"> </w:t>
      </w:r>
      <w:r w:rsidRPr="00F377F7">
        <w:rPr>
          <w:color w:val="000000"/>
          <w:sz w:val="22"/>
          <w:szCs w:val="22"/>
        </w:rPr>
        <w:t>“political action committee,”</w:t>
      </w:r>
      <w:r w:rsidR="00141292" w:rsidRPr="00F377F7">
        <w:rPr>
          <w:rStyle w:val="FootnoteReference"/>
          <w:color w:val="000000"/>
          <w:sz w:val="22"/>
          <w:szCs w:val="22"/>
        </w:rPr>
        <w:footnoteReference w:id="8"/>
      </w:r>
      <w:r w:rsidRPr="00F377F7">
        <w:rPr>
          <w:color w:val="000000"/>
          <w:sz w:val="22"/>
          <w:szCs w:val="22"/>
        </w:rPr>
        <w:t xml:space="preserve"> the proposed rule describes three factors relevant in</w:t>
      </w:r>
      <w:r w:rsidR="00141292" w:rsidRPr="00F377F7">
        <w:rPr>
          <w:color w:val="000000"/>
          <w:sz w:val="22"/>
          <w:szCs w:val="22"/>
        </w:rPr>
        <w:t xml:space="preserve"> </w:t>
      </w:r>
      <w:r w:rsidRPr="00F377F7">
        <w:rPr>
          <w:color w:val="000000"/>
          <w:sz w:val="22"/>
          <w:szCs w:val="22"/>
        </w:rPr>
        <w:t>“determining a committee’s primary purpose,” including (i) “[w]</w:t>
      </w:r>
      <w:proofErr w:type="spellStart"/>
      <w:r w:rsidRPr="00F377F7">
        <w:rPr>
          <w:color w:val="000000"/>
          <w:sz w:val="22"/>
          <w:szCs w:val="22"/>
        </w:rPr>
        <w:t>hether</w:t>
      </w:r>
      <w:proofErr w:type="spellEnd"/>
      <w:r w:rsidRPr="00F377F7">
        <w:rPr>
          <w:color w:val="000000"/>
          <w:sz w:val="22"/>
          <w:szCs w:val="22"/>
        </w:rPr>
        <w:t xml:space="preserve"> the</w:t>
      </w:r>
      <w:r w:rsidR="00141292" w:rsidRPr="00F377F7">
        <w:rPr>
          <w:color w:val="000000"/>
          <w:sz w:val="22"/>
          <w:szCs w:val="22"/>
        </w:rPr>
        <w:t xml:space="preserve"> </w:t>
      </w:r>
      <w:r w:rsidRPr="00F377F7">
        <w:rPr>
          <w:color w:val="000000"/>
          <w:sz w:val="22"/>
          <w:szCs w:val="22"/>
        </w:rPr>
        <w:t>combination of one or more persons receives and manages money or any other thing</w:t>
      </w:r>
      <w:r w:rsidR="00141292" w:rsidRPr="00F377F7">
        <w:rPr>
          <w:color w:val="000000"/>
          <w:sz w:val="22"/>
          <w:szCs w:val="22"/>
        </w:rPr>
        <w:t xml:space="preserve"> </w:t>
      </w:r>
      <w:r w:rsidRPr="00F377F7">
        <w:rPr>
          <w:color w:val="000000"/>
          <w:sz w:val="22"/>
          <w:szCs w:val="22"/>
        </w:rPr>
        <w:t>of value in a common account for the specific purpose of supporting or opposing any</w:t>
      </w:r>
      <w:r w:rsidR="00141292" w:rsidRPr="00F377F7">
        <w:rPr>
          <w:color w:val="000000"/>
          <w:sz w:val="22"/>
          <w:szCs w:val="22"/>
        </w:rPr>
        <w:t xml:space="preserve"> </w:t>
      </w:r>
      <w:r w:rsidRPr="00F377F7">
        <w:rPr>
          <w:color w:val="000000"/>
          <w:sz w:val="22"/>
          <w:szCs w:val="22"/>
        </w:rPr>
        <w:t>candidate, political party or political committee;” (ii) “[w]</w:t>
      </w:r>
      <w:proofErr w:type="spellStart"/>
      <w:r w:rsidRPr="00F377F7">
        <w:rPr>
          <w:color w:val="000000"/>
          <w:sz w:val="22"/>
          <w:szCs w:val="22"/>
        </w:rPr>
        <w:t>hether</w:t>
      </w:r>
      <w:proofErr w:type="spellEnd"/>
      <w:r w:rsidRPr="00F377F7">
        <w:rPr>
          <w:color w:val="000000"/>
          <w:sz w:val="22"/>
          <w:szCs w:val="22"/>
        </w:rPr>
        <w:t xml:space="preserve"> the combination of</w:t>
      </w:r>
      <w:r w:rsidR="00141292" w:rsidRPr="00F377F7">
        <w:rPr>
          <w:color w:val="000000"/>
          <w:sz w:val="22"/>
          <w:szCs w:val="22"/>
        </w:rPr>
        <w:t xml:space="preserve"> </w:t>
      </w:r>
      <w:r w:rsidRPr="00F377F7">
        <w:rPr>
          <w:color w:val="000000"/>
          <w:sz w:val="22"/>
          <w:szCs w:val="22"/>
        </w:rPr>
        <w:t>one or more persons makes, anticipates or should have anticipated engaging in a</w:t>
      </w:r>
      <w:r w:rsidR="00141292" w:rsidRPr="00F377F7">
        <w:rPr>
          <w:color w:val="000000"/>
          <w:sz w:val="22"/>
          <w:szCs w:val="22"/>
        </w:rPr>
        <w:t xml:space="preserve"> </w:t>
      </w:r>
      <w:r w:rsidRPr="00F377F7">
        <w:rPr>
          <w:color w:val="000000"/>
          <w:sz w:val="22"/>
          <w:szCs w:val="22"/>
        </w:rPr>
        <w:t>continuing pattern of expenditures from a common account to support or oppose any</w:t>
      </w:r>
      <w:r w:rsidR="00141292" w:rsidRPr="00F377F7">
        <w:rPr>
          <w:color w:val="000000"/>
          <w:sz w:val="22"/>
          <w:szCs w:val="22"/>
        </w:rPr>
        <w:t xml:space="preserve"> </w:t>
      </w:r>
      <w:r w:rsidRPr="00F377F7">
        <w:rPr>
          <w:color w:val="000000"/>
          <w:sz w:val="22"/>
          <w:szCs w:val="22"/>
        </w:rPr>
        <w:t>candida</w:t>
      </w:r>
      <w:r w:rsidR="00141292" w:rsidRPr="00F377F7">
        <w:rPr>
          <w:color w:val="000000"/>
          <w:sz w:val="22"/>
          <w:szCs w:val="22"/>
        </w:rPr>
        <w:t xml:space="preserve">te, </w:t>
      </w:r>
      <w:r w:rsidRPr="00F377F7">
        <w:rPr>
          <w:color w:val="000000"/>
          <w:sz w:val="22"/>
          <w:szCs w:val="22"/>
        </w:rPr>
        <w:t>political party or political committee;” and (iii) “[w]</w:t>
      </w:r>
      <w:proofErr w:type="spellStart"/>
      <w:r w:rsidRPr="00F377F7">
        <w:rPr>
          <w:color w:val="000000"/>
          <w:sz w:val="22"/>
          <w:szCs w:val="22"/>
        </w:rPr>
        <w:t>hether</w:t>
      </w:r>
      <w:proofErr w:type="spellEnd"/>
      <w:r w:rsidRPr="00F377F7">
        <w:rPr>
          <w:color w:val="000000"/>
          <w:sz w:val="22"/>
          <w:szCs w:val="22"/>
        </w:rPr>
        <w:t xml:space="preserve"> the</w:t>
      </w:r>
      <w:r w:rsidR="00141292" w:rsidRPr="00F377F7">
        <w:rPr>
          <w:color w:val="000000"/>
          <w:sz w:val="22"/>
          <w:szCs w:val="22"/>
        </w:rPr>
        <w:t xml:space="preserve"> </w:t>
      </w:r>
      <w:r w:rsidRPr="00F377F7">
        <w:rPr>
          <w:color w:val="000000"/>
          <w:sz w:val="22"/>
          <w:szCs w:val="22"/>
        </w:rPr>
        <w:t>combination of one or more persons constitutes a committee that was not in</w:t>
      </w:r>
      <w:r w:rsidR="00141292" w:rsidRPr="00F377F7">
        <w:rPr>
          <w:color w:val="000000"/>
          <w:sz w:val="22"/>
          <w:szCs w:val="22"/>
        </w:rPr>
        <w:t xml:space="preserve"> </w:t>
      </w:r>
      <w:r w:rsidRPr="00F377F7">
        <w:rPr>
          <w:color w:val="000000"/>
          <w:sz w:val="22"/>
          <w:szCs w:val="22"/>
        </w:rPr>
        <w:t>existence for any other primary purpose prior to supporting or opposing any</w:t>
      </w:r>
      <w:r w:rsidR="00141292" w:rsidRPr="00F377F7">
        <w:rPr>
          <w:color w:val="000000"/>
          <w:sz w:val="22"/>
          <w:szCs w:val="22"/>
        </w:rPr>
        <w:t xml:space="preserve"> </w:t>
      </w:r>
      <w:r w:rsidRPr="00F377F7">
        <w:rPr>
          <w:color w:val="000000"/>
          <w:sz w:val="22"/>
          <w:szCs w:val="22"/>
        </w:rPr>
        <w:t>candidate, political party or political committee.”</w:t>
      </w:r>
      <w:proofErr w:type="gramEnd"/>
    </w:p>
    <w:p w:rsidR="00141292" w:rsidRPr="00F377F7" w:rsidRDefault="00141292" w:rsidP="00265186">
      <w:pPr>
        <w:autoSpaceDE w:val="0"/>
        <w:autoSpaceDN w:val="0"/>
        <w:adjustRightInd w:val="0"/>
        <w:rPr>
          <w:color w:val="000000"/>
          <w:sz w:val="22"/>
          <w:szCs w:val="22"/>
        </w:rPr>
      </w:pPr>
    </w:p>
    <w:p w:rsidR="00265186" w:rsidRPr="00F377F7" w:rsidRDefault="00265186" w:rsidP="00265186">
      <w:pPr>
        <w:autoSpaceDE w:val="0"/>
        <w:autoSpaceDN w:val="0"/>
        <w:adjustRightInd w:val="0"/>
        <w:rPr>
          <w:color w:val="000000"/>
          <w:sz w:val="22"/>
          <w:szCs w:val="22"/>
        </w:rPr>
      </w:pPr>
      <w:r w:rsidRPr="00F377F7">
        <w:rPr>
          <w:color w:val="000000"/>
          <w:sz w:val="22"/>
          <w:szCs w:val="22"/>
        </w:rPr>
        <w:lastRenderedPageBreak/>
        <w:t xml:space="preserve">While the three factors listed in the proposed </w:t>
      </w:r>
      <w:r w:rsidR="00141292" w:rsidRPr="00F377F7">
        <w:rPr>
          <w:color w:val="000000"/>
          <w:sz w:val="22"/>
          <w:szCs w:val="22"/>
        </w:rPr>
        <w:t xml:space="preserve">rule may be useful in assessing </w:t>
      </w:r>
      <w:r w:rsidRPr="00F377F7">
        <w:rPr>
          <w:color w:val="000000"/>
          <w:sz w:val="22"/>
          <w:szCs w:val="22"/>
        </w:rPr>
        <w:t>whether an organization has the “primary purpose” of supporting or opposing state</w:t>
      </w:r>
      <w:r w:rsidR="00141292" w:rsidRPr="00F377F7">
        <w:rPr>
          <w:color w:val="000000"/>
          <w:sz w:val="22"/>
          <w:szCs w:val="22"/>
        </w:rPr>
        <w:t xml:space="preserve"> </w:t>
      </w:r>
      <w:r w:rsidRPr="00F377F7">
        <w:rPr>
          <w:color w:val="000000"/>
          <w:sz w:val="22"/>
          <w:szCs w:val="22"/>
        </w:rPr>
        <w:t>candidates, the Commission should expand the list of factors in the final rule to</w:t>
      </w:r>
      <w:r w:rsidR="00141292" w:rsidRPr="00F377F7">
        <w:rPr>
          <w:color w:val="000000"/>
          <w:sz w:val="22"/>
          <w:szCs w:val="22"/>
        </w:rPr>
        <w:t xml:space="preserve"> </w:t>
      </w:r>
      <w:r w:rsidRPr="00F377F7">
        <w:rPr>
          <w:color w:val="000000"/>
          <w:sz w:val="22"/>
          <w:szCs w:val="22"/>
        </w:rPr>
        <w:t>create a more comprehensive review process for determining whether a particular</w:t>
      </w:r>
      <w:r w:rsidR="00141292" w:rsidRPr="00F377F7">
        <w:rPr>
          <w:color w:val="000000"/>
          <w:sz w:val="22"/>
          <w:szCs w:val="22"/>
        </w:rPr>
        <w:t xml:space="preserve"> </w:t>
      </w:r>
      <w:r w:rsidRPr="00F377F7">
        <w:rPr>
          <w:color w:val="000000"/>
          <w:sz w:val="22"/>
          <w:szCs w:val="22"/>
        </w:rPr>
        <w:t>organization is a PAC in West Virginia.</w:t>
      </w:r>
    </w:p>
    <w:p w:rsidR="00141292" w:rsidRPr="00F377F7" w:rsidRDefault="00141292" w:rsidP="00265186">
      <w:pPr>
        <w:autoSpaceDE w:val="0"/>
        <w:autoSpaceDN w:val="0"/>
        <w:adjustRightInd w:val="0"/>
        <w:rPr>
          <w:color w:val="000000"/>
          <w:sz w:val="22"/>
          <w:szCs w:val="22"/>
        </w:rPr>
      </w:pPr>
    </w:p>
    <w:p w:rsidR="00265186" w:rsidRPr="00F377F7" w:rsidRDefault="00265186" w:rsidP="00265186">
      <w:pPr>
        <w:autoSpaceDE w:val="0"/>
        <w:autoSpaceDN w:val="0"/>
        <w:adjustRightInd w:val="0"/>
        <w:rPr>
          <w:color w:val="000000"/>
          <w:sz w:val="22"/>
          <w:szCs w:val="22"/>
        </w:rPr>
      </w:pPr>
      <w:r w:rsidRPr="00F377F7">
        <w:rPr>
          <w:color w:val="000000"/>
          <w:sz w:val="22"/>
          <w:szCs w:val="22"/>
        </w:rPr>
        <w:t>For example, the Montana Commissioner of Political Practices (“COPP”) has</w:t>
      </w:r>
      <w:r w:rsidR="00141292" w:rsidRPr="00F377F7">
        <w:rPr>
          <w:color w:val="000000"/>
          <w:sz w:val="22"/>
          <w:szCs w:val="22"/>
        </w:rPr>
        <w:t xml:space="preserve"> </w:t>
      </w:r>
      <w:r w:rsidRPr="00F377F7">
        <w:rPr>
          <w:color w:val="000000"/>
          <w:sz w:val="22"/>
          <w:szCs w:val="22"/>
        </w:rPr>
        <w:t>issued a regulation that describes factors relevant in determining whether an</w:t>
      </w:r>
      <w:r w:rsidR="00141292" w:rsidRPr="00F377F7">
        <w:rPr>
          <w:color w:val="000000"/>
          <w:sz w:val="22"/>
          <w:szCs w:val="22"/>
        </w:rPr>
        <w:t xml:space="preserve"> </w:t>
      </w:r>
      <w:r w:rsidRPr="00F377F7">
        <w:rPr>
          <w:color w:val="000000"/>
          <w:sz w:val="22"/>
          <w:szCs w:val="22"/>
        </w:rPr>
        <w:t>organization has the “primary purpose” of supporting or opposing state candidates</w:t>
      </w:r>
      <w:r w:rsidR="00141292" w:rsidRPr="00F377F7">
        <w:rPr>
          <w:color w:val="000000"/>
          <w:sz w:val="22"/>
          <w:szCs w:val="22"/>
        </w:rPr>
        <w:t xml:space="preserve"> </w:t>
      </w:r>
      <w:r w:rsidRPr="00F377F7">
        <w:rPr>
          <w:color w:val="000000"/>
          <w:sz w:val="22"/>
          <w:szCs w:val="22"/>
        </w:rPr>
        <w:t>or ballot issues.</w:t>
      </w:r>
      <w:r w:rsidR="00141292" w:rsidRPr="00F377F7">
        <w:rPr>
          <w:rStyle w:val="FootnoteReference"/>
          <w:color w:val="000000"/>
          <w:sz w:val="22"/>
          <w:szCs w:val="22"/>
        </w:rPr>
        <w:footnoteReference w:id="9"/>
      </w:r>
      <w:r w:rsidRPr="00F377F7">
        <w:rPr>
          <w:color w:val="000000"/>
          <w:sz w:val="22"/>
          <w:szCs w:val="22"/>
        </w:rPr>
        <w:t xml:space="preserve"> Montana’s regulation lists eleven distinct factors that COPP</w:t>
      </w:r>
      <w:r w:rsidR="00141292" w:rsidRPr="00F377F7">
        <w:rPr>
          <w:color w:val="000000"/>
          <w:sz w:val="22"/>
          <w:szCs w:val="22"/>
        </w:rPr>
        <w:t xml:space="preserve"> </w:t>
      </w:r>
      <w:r w:rsidRPr="00F377F7">
        <w:rPr>
          <w:color w:val="000000"/>
          <w:sz w:val="22"/>
          <w:szCs w:val="22"/>
        </w:rPr>
        <w:t>reviews to determine an organization’s “primary purpose,” including its budget,</w:t>
      </w:r>
      <w:r w:rsidR="00141292" w:rsidRPr="00F377F7">
        <w:rPr>
          <w:color w:val="000000"/>
          <w:sz w:val="22"/>
          <w:szCs w:val="22"/>
        </w:rPr>
        <w:t xml:space="preserve"> </w:t>
      </w:r>
      <w:r w:rsidRPr="00F377F7">
        <w:rPr>
          <w:color w:val="000000"/>
          <w:sz w:val="22"/>
          <w:szCs w:val="22"/>
        </w:rPr>
        <w:t>allocation of staff activity, date of founding, reportable election activity, coordination</w:t>
      </w:r>
    </w:p>
    <w:p w:rsidR="00265186" w:rsidRPr="00F377F7" w:rsidRDefault="00265186" w:rsidP="00265186">
      <w:pPr>
        <w:autoSpaceDE w:val="0"/>
        <w:autoSpaceDN w:val="0"/>
        <w:adjustRightInd w:val="0"/>
        <w:rPr>
          <w:color w:val="000000"/>
          <w:sz w:val="22"/>
          <w:szCs w:val="22"/>
        </w:rPr>
      </w:pPr>
      <w:proofErr w:type="gramStart"/>
      <w:r w:rsidRPr="00F377F7">
        <w:rPr>
          <w:color w:val="000000"/>
          <w:sz w:val="22"/>
          <w:szCs w:val="22"/>
        </w:rPr>
        <w:t>with</w:t>
      </w:r>
      <w:proofErr w:type="gramEnd"/>
      <w:r w:rsidRPr="00F377F7">
        <w:rPr>
          <w:color w:val="000000"/>
          <w:sz w:val="22"/>
          <w:szCs w:val="22"/>
        </w:rPr>
        <w:t xml:space="preserve"> a candidate, and any “ordinary business” conducted by the organization.</w:t>
      </w:r>
      <w:r w:rsidR="00141292" w:rsidRPr="00F377F7">
        <w:rPr>
          <w:rStyle w:val="FootnoteReference"/>
          <w:color w:val="000000"/>
          <w:sz w:val="22"/>
          <w:szCs w:val="22"/>
        </w:rPr>
        <w:footnoteReference w:id="10"/>
      </w:r>
      <w:r w:rsidRPr="00F377F7">
        <w:rPr>
          <w:color w:val="000000"/>
          <w:sz w:val="22"/>
          <w:szCs w:val="22"/>
        </w:rPr>
        <w:t xml:space="preserve"> After</w:t>
      </w:r>
    </w:p>
    <w:p w:rsidR="00265186" w:rsidRPr="00F377F7" w:rsidRDefault="00265186" w:rsidP="00265186">
      <w:pPr>
        <w:autoSpaceDE w:val="0"/>
        <w:autoSpaceDN w:val="0"/>
        <w:adjustRightInd w:val="0"/>
        <w:rPr>
          <w:color w:val="000000"/>
          <w:sz w:val="22"/>
          <w:szCs w:val="22"/>
        </w:rPr>
      </w:pPr>
      <w:proofErr w:type="gramStart"/>
      <w:r w:rsidRPr="00F377F7">
        <w:rPr>
          <w:color w:val="000000"/>
          <w:sz w:val="22"/>
          <w:szCs w:val="22"/>
        </w:rPr>
        <w:t>evaluating</w:t>
      </w:r>
      <w:proofErr w:type="gramEnd"/>
      <w:r w:rsidRPr="00F377F7">
        <w:rPr>
          <w:color w:val="000000"/>
          <w:sz w:val="22"/>
          <w:szCs w:val="22"/>
        </w:rPr>
        <w:t xml:space="preserve"> an organization under the criteria in the regulation, COPP makes a final</w:t>
      </w:r>
    </w:p>
    <w:p w:rsidR="00265186" w:rsidRPr="00F377F7" w:rsidRDefault="00265186" w:rsidP="00265186">
      <w:pPr>
        <w:autoSpaceDE w:val="0"/>
        <w:autoSpaceDN w:val="0"/>
        <w:adjustRightInd w:val="0"/>
        <w:rPr>
          <w:color w:val="000000"/>
          <w:sz w:val="22"/>
          <w:szCs w:val="22"/>
        </w:rPr>
      </w:pPr>
      <w:proofErr w:type="gramStart"/>
      <w:r w:rsidRPr="00F377F7">
        <w:rPr>
          <w:color w:val="000000"/>
          <w:sz w:val="22"/>
          <w:szCs w:val="22"/>
        </w:rPr>
        <w:t>decision</w:t>
      </w:r>
      <w:proofErr w:type="gramEnd"/>
      <w:r w:rsidRPr="00F377F7">
        <w:rPr>
          <w:color w:val="000000"/>
          <w:sz w:val="22"/>
          <w:szCs w:val="22"/>
        </w:rPr>
        <w:t xml:space="preserve"> regarding the organization’s “primary purpose” based on a “preponderance</w:t>
      </w:r>
    </w:p>
    <w:p w:rsidR="00265186" w:rsidRPr="00F377F7" w:rsidRDefault="00265186" w:rsidP="00265186">
      <w:pPr>
        <w:autoSpaceDE w:val="0"/>
        <w:autoSpaceDN w:val="0"/>
        <w:adjustRightInd w:val="0"/>
        <w:rPr>
          <w:color w:val="000000"/>
          <w:sz w:val="22"/>
          <w:szCs w:val="22"/>
        </w:rPr>
      </w:pPr>
      <w:proofErr w:type="gramStart"/>
      <w:r w:rsidRPr="00F377F7">
        <w:rPr>
          <w:color w:val="000000"/>
          <w:sz w:val="22"/>
          <w:szCs w:val="22"/>
        </w:rPr>
        <w:t>of</w:t>
      </w:r>
      <w:proofErr w:type="gramEnd"/>
      <w:r w:rsidRPr="00F377F7">
        <w:rPr>
          <w:color w:val="000000"/>
          <w:sz w:val="22"/>
          <w:szCs w:val="22"/>
        </w:rPr>
        <w:t xml:space="preserve"> evidence.”</w:t>
      </w:r>
      <w:r w:rsidR="00141292" w:rsidRPr="00F377F7">
        <w:rPr>
          <w:rStyle w:val="FootnoteReference"/>
          <w:color w:val="000000"/>
          <w:sz w:val="22"/>
          <w:szCs w:val="22"/>
        </w:rPr>
        <w:footnoteReference w:id="11"/>
      </w:r>
    </w:p>
    <w:p w:rsidR="00141292" w:rsidRPr="00F377F7" w:rsidRDefault="00141292" w:rsidP="00265186">
      <w:pPr>
        <w:autoSpaceDE w:val="0"/>
        <w:autoSpaceDN w:val="0"/>
        <w:adjustRightInd w:val="0"/>
        <w:rPr>
          <w:color w:val="000000"/>
          <w:sz w:val="22"/>
          <w:szCs w:val="22"/>
        </w:rPr>
      </w:pPr>
    </w:p>
    <w:p w:rsidR="00E476F9" w:rsidRPr="00F377F7" w:rsidRDefault="00265186" w:rsidP="00265186">
      <w:pPr>
        <w:autoSpaceDE w:val="0"/>
        <w:autoSpaceDN w:val="0"/>
        <w:adjustRightInd w:val="0"/>
        <w:rPr>
          <w:color w:val="000000"/>
          <w:sz w:val="22"/>
          <w:szCs w:val="22"/>
        </w:rPr>
      </w:pPr>
      <w:r w:rsidRPr="00F377F7">
        <w:rPr>
          <w:color w:val="000000"/>
          <w:sz w:val="22"/>
          <w:szCs w:val="22"/>
        </w:rPr>
        <w:t>The Commission should review Montana’s regulation, and, in the final rule,</w:t>
      </w:r>
      <w:r w:rsidR="00E476F9" w:rsidRPr="00F377F7">
        <w:rPr>
          <w:color w:val="000000"/>
          <w:sz w:val="22"/>
          <w:szCs w:val="22"/>
        </w:rPr>
        <w:t xml:space="preserve"> </w:t>
      </w:r>
      <w:r w:rsidRPr="00F377F7">
        <w:rPr>
          <w:color w:val="000000"/>
          <w:sz w:val="22"/>
          <w:szCs w:val="22"/>
        </w:rPr>
        <w:t>include a similarly broad range of factors for determining whether an organization</w:t>
      </w:r>
      <w:r w:rsidR="00E476F9" w:rsidRPr="00F377F7">
        <w:rPr>
          <w:color w:val="000000"/>
          <w:sz w:val="22"/>
          <w:szCs w:val="22"/>
        </w:rPr>
        <w:t xml:space="preserve"> </w:t>
      </w:r>
      <w:r w:rsidRPr="00F377F7">
        <w:rPr>
          <w:color w:val="000000"/>
          <w:sz w:val="22"/>
          <w:szCs w:val="22"/>
        </w:rPr>
        <w:t>has the “primary purpose” of supporting or opposing candidates in West Virginia.</w:t>
      </w:r>
    </w:p>
    <w:p w:rsidR="00E476F9" w:rsidRPr="00F377F7" w:rsidRDefault="00E476F9" w:rsidP="00265186">
      <w:pPr>
        <w:autoSpaceDE w:val="0"/>
        <w:autoSpaceDN w:val="0"/>
        <w:adjustRightInd w:val="0"/>
        <w:rPr>
          <w:color w:val="000000"/>
          <w:sz w:val="22"/>
          <w:szCs w:val="22"/>
        </w:rPr>
      </w:pPr>
    </w:p>
    <w:p w:rsidR="00137DB0" w:rsidRPr="00F377F7" w:rsidRDefault="00137DB0" w:rsidP="00137DB0">
      <w:pPr>
        <w:autoSpaceDE w:val="0"/>
        <w:autoSpaceDN w:val="0"/>
        <w:adjustRightInd w:val="0"/>
        <w:rPr>
          <w:b/>
          <w:color w:val="000000"/>
          <w:sz w:val="22"/>
          <w:szCs w:val="22"/>
        </w:rPr>
      </w:pPr>
      <w:r w:rsidRPr="00F377F7">
        <w:rPr>
          <w:b/>
          <w:color w:val="000000"/>
          <w:sz w:val="22"/>
          <w:szCs w:val="22"/>
        </w:rPr>
        <w:t>RESPONSE:</w:t>
      </w:r>
    </w:p>
    <w:p w:rsidR="00137DB0" w:rsidRPr="00F377F7" w:rsidRDefault="00137DB0" w:rsidP="00137DB0">
      <w:pPr>
        <w:autoSpaceDE w:val="0"/>
        <w:autoSpaceDN w:val="0"/>
        <w:adjustRightInd w:val="0"/>
        <w:rPr>
          <w:color w:val="000000"/>
          <w:sz w:val="22"/>
          <w:szCs w:val="22"/>
        </w:rPr>
      </w:pPr>
    </w:p>
    <w:p w:rsidR="00D64E12" w:rsidRPr="00F377F7" w:rsidRDefault="0041213D" w:rsidP="00137DB0">
      <w:pPr>
        <w:autoSpaceDE w:val="0"/>
        <w:autoSpaceDN w:val="0"/>
        <w:adjustRightInd w:val="0"/>
        <w:rPr>
          <w:b/>
          <w:color w:val="000000"/>
          <w:sz w:val="22"/>
          <w:szCs w:val="22"/>
        </w:rPr>
      </w:pPr>
      <w:r w:rsidRPr="00F377F7">
        <w:rPr>
          <w:b/>
          <w:color w:val="000000"/>
          <w:sz w:val="22"/>
          <w:szCs w:val="22"/>
        </w:rPr>
        <w:t xml:space="preserve">The Rule models </w:t>
      </w:r>
      <w:r w:rsidR="00B14404" w:rsidRPr="00F377F7">
        <w:rPr>
          <w:b/>
          <w:color w:val="000000"/>
          <w:sz w:val="22"/>
          <w:szCs w:val="22"/>
        </w:rPr>
        <w:t xml:space="preserve">the State of Ohio’s statute and regulations, which </w:t>
      </w:r>
      <w:r w:rsidRPr="00F377F7">
        <w:rPr>
          <w:b/>
          <w:color w:val="000000"/>
          <w:sz w:val="22"/>
          <w:szCs w:val="22"/>
        </w:rPr>
        <w:t xml:space="preserve">are nearly identical to </w:t>
      </w:r>
      <w:r w:rsidR="00B14404" w:rsidRPr="00F377F7">
        <w:rPr>
          <w:b/>
          <w:color w:val="000000"/>
          <w:sz w:val="22"/>
          <w:szCs w:val="22"/>
        </w:rPr>
        <w:t xml:space="preserve">West Virginia’s “primary purpose” </w:t>
      </w:r>
      <w:r w:rsidRPr="00F377F7">
        <w:rPr>
          <w:b/>
          <w:color w:val="000000"/>
          <w:sz w:val="22"/>
          <w:szCs w:val="22"/>
        </w:rPr>
        <w:t>standard</w:t>
      </w:r>
      <w:r w:rsidR="00B14404" w:rsidRPr="00F377F7">
        <w:rPr>
          <w:b/>
          <w:color w:val="000000"/>
          <w:sz w:val="22"/>
          <w:szCs w:val="22"/>
        </w:rPr>
        <w:t xml:space="preserve">. The Rule </w:t>
      </w:r>
      <w:proofErr w:type="gramStart"/>
      <w:r w:rsidR="00B14404" w:rsidRPr="00F377F7">
        <w:rPr>
          <w:b/>
          <w:color w:val="000000"/>
          <w:sz w:val="22"/>
          <w:szCs w:val="22"/>
        </w:rPr>
        <w:t>will be amended</w:t>
      </w:r>
      <w:proofErr w:type="gramEnd"/>
      <w:r w:rsidR="00B14404" w:rsidRPr="00F377F7">
        <w:rPr>
          <w:b/>
          <w:color w:val="000000"/>
          <w:sz w:val="22"/>
          <w:szCs w:val="22"/>
        </w:rPr>
        <w:t xml:space="preserve"> to clarify </w:t>
      </w:r>
      <w:r w:rsidR="00D64E12" w:rsidRPr="00F377F7">
        <w:rPr>
          <w:b/>
          <w:color w:val="000000"/>
          <w:sz w:val="22"/>
          <w:szCs w:val="22"/>
        </w:rPr>
        <w:t xml:space="preserve">that the </w:t>
      </w:r>
      <w:r w:rsidR="00B14404" w:rsidRPr="00F377F7">
        <w:rPr>
          <w:b/>
          <w:color w:val="000000"/>
          <w:sz w:val="22"/>
          <w:szCs w:val="22"/>
        </w:rPr>
        <w:t xml:space="preserve">factors in the </w:t>
      </w:r>
      <w:r w:rsidR="00D64E12" w:rsidRPr="00F377F7">
        <w:rPr>
          <w:b/>
          <w:color w:val="000000"/>
          <w:sz w:val="22"/>
          <w:szCs w:val="22"/>
        </w:rPr>
        <w:t xml:space="preserve">Rule are not </w:t>
      </w:r>
      <w:r w:rsidR="00B14404" w:rsidRPr="00F377F7">
        <w:rPr>
          <w:b/>
          <w:color w:val="000000"/>
          <w:sz w:val="22"/>
          <w:szCs w:val="22"/>
        </w:rPr>
        <w:t>exclusive. However, Montana’s factors will not be expressly included</w:t>
      </w:r>
      <w:r w:rsidR="00520C2D" w:rsidRPr="00F377F7">
        <w:rPr>
          <w:b/>
          <w:color w:val="000000"/>
          <w:sz w:val="22"/>
          <w:szCs w:val="22"/>
        </w:rPr>
        <w:t xml:space="preserve"> because the Montana statute contains additional factors not included in the West Virginia statute</w:t>
      </w:r>
      <w:r w:rsidR="00B14404" w:rsidRPr="00F377F7">
        <w:rPr>
          <w:b/>
          <w:color w:val="000000"/>
          <w:sz w:val="22"/>
          <w:szCs w:val="22"/>
        </w:rPr>
        <w:t>.</w:t>
      </w:r>
    </w:p>
    <w:p w:rsidR="00B14404" w:rsidRPr="00F377F7" w:rsidRDefault="00B14404" w:rsidP="00265186">
      <w:pPr>
        <w:autoSpaceDE w:val="0"/>
        <w:autoSpaceDN w:val="0"/>
        <w:adjustRightInd w:val="0"/>
        <w:rPr>
          <w:color w:val="000000"/>
          <w:sz w:val="22"/>
          <w:szCs w:val="22"/>
        </w:rPr>
      </w:pPr>
    </w:p>
    <w:p w:rsidR="00265186" w:rsidRPr="00F377F7" w:rsidRDefault="00265186" w:rsidP="00E476F9">
      <w:pPr>
        <w:pStyle w:val="ListParagraph"/>
        <w:numPr>
          <w:ilvl w:val="1"/>
          <w:numId w:val="3"/>
        </w:numPr>
        <w:autoSpaceDE w:val="0"/>
        <w:autoSpaceDN w:val="0"/>
        <w:adjustRightInd w:val="0"/>
        <w:rPr>
          <w:i/>
          <w:iCs/>
          <w:color w:val="000000"/>
          <w:sz w:val="22"/>
          <w:szCs w:val="22"/>
        </w:rPr>
      </w:pPr>
      <w:r w:rsidRPr="00F377F7">
        <w:rPr>
          <w:i/>
          <w:iCs/>
          <w:color w:val="000000"/>
          <w:sz w:val="22"/>
          <w:szCs w:val="22"/>
        </w:rPr>
        <w:t>Subsection 2.3</w:t>
      </w:r>
      <w:r w:rsidR="006A5DE9">
        <w:rPr>
          <w:i/>
          <w:iCs/>
          <w:color w:val="000000"/>
          <w:sz w:val="22"/>
          <w:szCs w:val="22"/>
        </w:rPr>
        <w:t>2</w:t>
      </w:r>
      <w:r w:rsidRPr="00F377F7">
        <w:rPr>
          <w:i/>
          <w:iCs/>
          <w:color w:val="000000"/>
          <w:sz w:val="22"/>
          <w:szCs w:val="22"/>
        </w:rPr>
        <w:t>. “Political Purposes”</w:t>
      </w:r>
    </w:p>
    <w:p w:rsidR="00E476F9" w:rsidRPr="00F377F7" w:rsidRDefault="00E476F9" w:rsidP="00E476F9">
      <w:pPr>
        <w:pStyle w:val="ListParagraph"/>
        <w:autoSpaceDE w:val="0"/>
        <w:autoSpaceDN w:val="0"/>
        <w:adjustRightInd w:val="0"/>
        <w:ind w:left="1440"/>
        <w:rPr>
          <w:i/>
          <w:iCs/>
          <w:color w:val="000000"/>
          <w:sz w:val="22"/>
          <w:szCs w:val="22"/>
        </w:rPr>
      </w:pPr>
    </w:p>
    <w:p w:rsidR="00265186" w:rsidRPr="00F377F7" w:rsidRDefault="00265186" w:rsidP="00265186">
      <w:pPr>
        <w:autoSpaceDE w:val="0"/>
        <w:autoSpaceDN w:val="0"/>
        <w:adjustRightInd w:val="0"/>
        <w:rPr>
          <w:color w:val="000000"/>
          <w:sz w:val="22"/>
          <w:szCs w:val="22"/>
        </w:rPr>
      </w:pPr>
      <w:r w:rsidRPr="00F377F7">
        <w:rPr>
          <w:color w:val="000000"/>
          <w:sz w:val="22"/>
          <w:szCs w:val="22"/>
        </w:rPr>
        <w:t>The proposed rule defines “political purposes” more narrowly than the Code.</w:t>
      </w:r>
      <w:r w:rsidR="00E476F9" w:rsidRPr="00F377F7">
        <w:rPr>
          <w:color w:val="000000"/>
          <w:sz w:val="22"/>
          <w:szCs w:val="22"/>
        </w:rPr>
        <w:t xml:space="preserve"> </w:t>
      </w:r>
      <w:r w:rsidRPr="00F377F7">
        <w:rPr>
          <w:color w:val="000000"/>
          <w:sz w:val="22"/>
          <w:szCs w:val="22"/>
        </w:rPr>
        <w:t>The statutory definition of “political purposes” encompasses “supporting or opposing</w:t>
      </w:r>
      <w:r w:rsidR="00E476F9" w:rsidRPr="00F377F7">
        <w:rPr>
          <w:color w:val="000000"/>
          <w:sz w:val="22"/>
          <w:szCs w:val="22"/>
        </w:rPr>
        <w:t xml:space="preserve"> </w:t>
      </w:r>
      <w:r w:rsidRPr="00F377F7">
        <w:rPr>
          <w:color w:val="000000"/>
          <w:sz w:val="22"/>
          <w:szCs w:val="22"/>
        </w:rPr>
        <w:t>the nomination, election, or defeat of one or more candidates or the passage or defeat</w:t>
      </w:r>
      <w:r w:rsidR="00E476F9" w:rsidRPr="00F377F7">
        <w:rPr>
          <w:color w:val="000000"/>
          <w:sz w:val="22"/>
          <w:szCs w:val="22"/>
        </w:rPr>
        <w:t xml:space="preserve"> </w:t>
      </w:r>
      <w:r w:rsidRPr="00F377F7">
        <w:rPr>
          <w:color w:val="000000"/>
          <w:sz w:val="22"/>
          <w:szCs w:val="22"/>
        </w:rPr>
        <w:t>of a ballot issue,” among other activities. By contrast, the proposed rule restricts the</w:t>
      </w:r>
      <w:r w:rsidR="00E476F9" w:rsidRPr="00F377F7">
        <w:rPr>
          <w:color w:val="000000"/>
          <w:sz w:val="22"/>
          <w:szCs w:val="22"/>
        </w:rPr>
        <w:t xml:space="preserve"> </w:t>
      </w:r>
      <w:r w:rsidRPr="00F377F7">
        <w:rPr>
          <w:color w:val="000000"/>
          <w:sz w:val="22"/>
          <w:szCs w:val="22"/>
        </w:rPr>
        <w:t>term, in relevant part, to “expressly advocating” the election or defeat of one or more</w:t>
      </w:r>
      <w:r w:rsidR="00E476F9" w:rsidRPr="00F377F7">
        <w:rPr>
          <w:color w:val="000000"/>
          <w:sz w:val="22"/>
          <w:szCs w:val="22"/>
        </w:rPr>
        <w:t xml:space="preserve"> </w:t>
      </w:r>
      <w:r w:rsidRPr="00F377F7">
        <w:rPr>
          <w:color w:val="000000"/>
          <w:sz w:val="22"/>
          <w:szCs w:val="22"/>
        </w:rPr>
        <w:t>candidates.</w:t>
      </w:r>
      <w:r w:rsidR="00E476F9" w:rsidRPr="00F377F7">
        <w:rPr>
          <w:rStyle w:val="FootnoteReference"/>
          <w:color w:val="000000"/>
          <w:sz w:val="22"/>
          <w:szCs w:val="22"/>
        </w:rPr>
        <w:footnoteReference w:id="12"/>
      </w:r>
      <w:r w:rsidRPr="00F377F7">
        <w:rPr>
          <w:color w:val="000000"/>
          <w:sz w:val="22"/>
          <w:szCs w:val="22"/>
        </w:rPr>
        <w:t xml:space="preserve"> Further, the definition in the Code covers advocacy for or against ballot</w:t>
      </w:r>
      <w:r w:rsidR="00E476F9" w:rsidRPr="00F377F7">
        <w:rPr>
          <w:color w:val="000000"/>
          <w:sz w:val="22"/>
          <w:szCs w:val="22"/>
        </w:rPr>
        <w:t xml:space="preserve"> </w:t>
      </w:r>
      <w:r w:rsidRPr="00F377F7">
        <w:rPr>
          <w:color w:val="000000"/>
          <w:sz w:val="22"/>
          <w:szCs w:val="22"/>
        </w:rPr>
        <w:t>issues, while the proposed rule does not. We recommend aligning the meaning of</w:t>
      </w:r>
      <w:r w:rsidR="00E476F9" w:rsidRPr="00F377F7">
        <w:rPr>
          <w:color w:val="000000"/>
          <w:sz w:val="22"/>
          <w:szCs w:val="22"/>
        </w:rPr>
        <w:t xml:space="preserve"> </w:t>
      </w:r>
      <w:r w:rsidRPr="00F377F7">
        <w:rPr>
          <w:color w:val="000000"/>
          <w:sz w:val="22"/>
          <w:szCs w:val="22"/>
        </w:rPr>
        <w:t>“political purposes” in the rule with the more comprehensive definition in the Code</w:t>
      </w:r>
      <w:r w:rsidR="00E476F9" w:rsidRPr="00F377F7">
        <w:rPr>
          <w:color w:val="000000"/>
          <w:sz w:val="22"/>
          <w:szCs w:val="22"/>
        </w:rPr>
        <w:t xml:space="preserve"> </w:t>
      </w:r>
      <w:r w:rsidRPr="00F377F7">
        <w:rPr>
          <w:color w:val="000000"/>
          <w:sz w:val="22"/>
          <w:szCs w:val="22"/>
        </w:rPr>
        <w:t>to provide consistency and prevent confusion.</w:t>
      </w:r>
    </w:p>
    <w:p w:rsidR="00E476F9" w:rsidRPr="00F377F7" w:rsidRDefault="00E476F9" w:rsidP="00265186">
      <w:pPr>
        <w:autoSpaceDE w:val="0"/>
        <w:autoSpaceDN w:val="0"/>
        <w:adjustRightInd w:val="0"/>
        <w:rPr>
          <w:color w:val="000000"/>
          <w:sz w:val="22"/>
          <w:szCs w:val="22"/>
        </w:rPr>
      </w:pPr>
    </w:p>
    <w:p w:rsidR="00137DB0" w:rsidRPr="00F377F7" w:rsidRDefault="00137DB0" w:rsidP="00137DB0">
      <w:pPr>
        <w:autoSpaceDE w:val="0"/>
        <w:autoSpaceDN w:val="0"/>
        <w:adjustRightInd w:val="0"/>
        <w:rPr>
          <w:b/>
          <w:color w:val="000000"/>
          <w:sz w:val="22"/>
          <w:szCs w:val="22"/>
        </w:rPr>
      </w:pPr>
      <w:r w:rsidRPr="00F377F7">
        <w:rPr>
          <w:b/>
          <w:color w:val="000000"/>
          <w:sz w:val="22"/>
          <w:szCs w:val="22"/>
        </w:rPr>
        <w:t>RESPONSE:</w:t>
      </w:r>
    </w:p>
    <w:p w:rsidR="00137DB0" w:rsidRPr="00F377F7" w:rsidRDefault="00137DB0" w:rsidP="00137DB0">
      <w:pPr>
        <w:autoSpaceDE w:val="0"/>
        <w:autoSpaceDN w:val="0"/>
        <w:adjustRightInd w:val="0"/>
        <w:rPr>
          <w:color w:val="000000"/>
          <w:sz w:val="22"/>
          <w:szCs w:val="22"/>
        </w:rPr>
      </w:pPr>
    </w:p>
    <w:p w:rsidR="00B14404" w:rsidRPr="00F377F7" w:rsidRDefault="00C96DC8" w:rsidP="00C96DC8">
      <w:pPr>
        <w:autoSpaceDE w:val="0"/>
        <w:autoSpaceDN w:val="0"/>
        <w:adjustRightInd w:val="0"/>
        <w:rPr>
          <w:b/>
          <w:color w:val="000000"/>
          <w:sz w:val="22"/>
          <w:szCs w:val="22"/>
        </w:rPr>
      </w:pPr>
      <w:r w:rsidRPr="00F377F7">
        <w:rPr>
          <w:b/>
          <w:color w:val="000000"/>
          <w:sz w:val="22"/>
          <w:szCs w:val="22"/>
        </w:rPr>
        <w:t xml:space="preserve">The Rule </w:t>
      </w:r>
      <w:proofErr w:type="gramStart"/>
      <w:r w:rsidRPr="00F377F7">
        <w:rPr>
          <w:b/>
          <w:color w:val="000000"/>
          <w:sz w:val="22"/>
          <w:szCs w:val="22"/>
        </w:rPr>
        <w:t>will be amended</w:t>
      </w:r>
      <w:proofErr w:type="gramEnd"/>
      <w:r w:rsidRPr="00F377F7">
        <w:rPr>
          <w:b/>
          <w:color w:val="000000"/>
          <w:sz w:val="22"/>
          <w:szCs w:val="22"/>
        </w:rPr>
        <w:t xml:space="preserve"> to include “ballot issue”</w:t>
      </w:r>
      <w:r w:rsidR="00896CC3" w:rsidRPr="00F377F7">
        <w:rPr>
          <w:b/>
          <w:color w:val="000000"/>
          <w:sz w:val="22"/>
          <w:szCs w:val="22"/>
        </w:rPr>
        <w:t xml:space="preserve"> in this definition to be consistent with the statute.</w:t>
      </w:r>
    </w:p>
    <w:p w:rsidR="00137DB0" w:rsidRPr="00F377F7" w:rsidRDefault="00137DB0" w:rsidP="00265186">
      <w:pPr>
        <w:autoSpaceDE w:val="0"/>
        <w:autoSpaceDN w:val="0"/>
        <w:adjustRightInd w:val="0"/>
        <w:rPr>
          <w:color w:val="000000"/>
          <w:sz w:val="22"/>
          <w:szCs w:val="22"/>
        </w:rPr>
      </w:pPr>
    </w:p>
    <w:p w:rsidR="00265186" w:rsidRPr="00F377F7" w:rsidRDefault="00265186" w:rsidP="00E476F9">
      <w:pPr>
        <w:pStyle w:val="ListParagraph"/>
        <w:numPr>
          <w:ilvl w:val="1"/>
          <w:numId w:val="3"/>
        </w:numPr>
        <w:autoSpaceDE w:val="0"/>
        <w:autoSpaceDN w:val="0"/>
        <w:adjustRightInd w:val="0"/>
        <w:rPr>
          <w:i/>
          <w:iCs/>
          <w:color w:val="000000"/>
          <w:sz w:val="22"/>
          <w:szCs w:val="22"/>
        </w:rPr>
      </w:pPr>
      <w:r w:rsidRPr="00F377F7">
        <w:rPr>
          <w:i/>
          <w:iCs/>
          <w:color w:val="000000"/>
          <w:sz w:val="22"/>
          <w:szCs w:val="22"/>
        </w:rPr>
        <w:t>Subsection 2.3</w:t>
      </w:r>
      <w:r w:rsidR="006A5DE9">
        <w:rPr>
          <w:i/>
          <w:iCs/>
          <w:color w:val="000000"/>
          <w:sz w:val="22"/>
          <w:szCs w:val="22"/>
        </w:rPr>
        <w:t>4</w:t>
      </w:r>
      <w:r w:rsidRPr="00F377F7">
        <w:rPr>
          <w:i/>
          <w:iCs/>
          <w:color w:val="000000"/>
          <w:sz w:val="22"/>
          <w:szCs w:val="22"/>
        </w:rPr>
        <w:t>. “Restricted Group”</w:t>
      </w:r>
    </w:p>
    <w:p w:rsidR="00E476F9" w:rsidRPr="00F377F7" w:rsidRDefault="00E476F9" w:rsidP="00E476F9">
      <w:pPr>
        <w:pStyle w:val="ListParagraph"/>
        <w:autoSpaceDE w:val="0"/>
        <w:autoSpaceDN w:val="0"/>
        <w:adjustRightInd w:val="0"/>
        <w:ind w:left="1440"/>
        <w:rPr>
          <w:i/>
          <w:iCs/>
          <w:color w:val="000000"/>
          <w:sz w:val="22"/>
          <w:szCs w:val="22"/>
        </w:rPr>
      </w:pPr>
    </w:p>
    <w:p w:rsidR="00265186" w:rsidRPr="00F377F7" w:rsidRDefault="00265186" w:rsidP="00265186">
      <w:pPr>
        <w:autoSpaceDE w:val="0"/>
        <w:autoSpaceDN w:val="0"/>
        <w:adjustRightInd w:val="0"/>
        <w:rPr>
          <w:color w:val="000000"/>
          <w:sz w:val="22"/>
          <w:szCs w:val="22"/>
        </w:rPr>
      </w:pPr>
      <w:r w:rsidRPr="00F377F7">
        <w:rPr>
          <w:color w:val="000000"/>
          <w:sz w:val="22"/>
          <w:szCs w:val="22"/>
        </w:rPr>
        <w:t xml:space="preserve">In the proposed rule, “restricted group” </w:t>
      </w:r>
      <w:proofErr w:type="gramStart"/>
      <w:r w:rsidRPr="00F377F7">
        <w:rPr>
          <w:color w:val="000000"/>
          <w:sz w:val="22"/>
          <w:szCs w:val="22"/>
        </w:rPr>
        <w:t>is defined</w:t>
      </w:r>
      <w:proofErr w:type="gramEnd"/>
      <w:r w:rsidRPr="00F377F7">
        <w:rPr>
          <w:color w:val="000000"/>
          <w:sz w:val="22"/>
          <w:szCs w:val="22"/>
        </w:rPr>
        <w:t xml:space="preserve"> as “the membership</w:t>
      </w:r>
      <w:r w:rsidR="00E476F9" w:rsidRPr="00F377F7">
        <w:rPr>
          <w:color w:val="000000"/>
          <w:sz w:val="22"/>
          <w:szCs w:val="22"/>
        </w:rPr>
        <w:t xml:space="preserve"> </w:t>
      </w:r>
      <w:r w:rsidRPr="00F377F7">
        <w:rPr>
          <w:color w:val="000000"/>
          <w:sz w:val="22"/>
          <w:szCs w:val="22"/>
        </w:rPr>
        <w:t>organization’s members and the executive or administrative personnel of the</w:t>
      </w:r>
      <w:r w:rsidR="00E476F9" w:rsidRPr="00F377F7">
        <w:rPr>
          <w:color w:val="000000"/>
          <w:sz w:val="22"/>
          <w:szCs w:val="22"/>
        </w:rPr>
        <w:t xml:space="preserve"> </w:t>
      </w:r>
      <w:r w:rsidRPr="00F377F7">
        <w:rPr>
          <w:color w:val="000000"/>
          <w:sz w:val="22"/>
          <w:szCs w:val="22"/>
        </w:rPr>
        <w:t>membership organization and their families.” The definition marks the limited class</w:t>
      </w:r>
      <w:r w:rsidR="00E476F9" w:rsidRPr="00F377F7">
        <w:rPr>
          <w:color w:val="000000"/>
          <w:sz w:val="22"/>
          <w:szCs w:val="22"/>
        </w:rPr>
        <w:t xml:space="preserve"> </w:t>
      </w:r>
      <w:r w:rsidRPr="00F377F7">
        <w:rPr>
          <w:color w:val="000000"/>
          <w:sz w:val="22"/>
          <w:szCs w:val="22"/>
        </w:rPr>
        <w:t>of individuals from whom membership organizations may solicit and receive</w:t>
      </w:r>
      <w:r w:rsidR="00E476F9" w:rsidRPr="00F377F7">
        <w:rPr>
          <w:color w:val="000000"/>
          <w:sz w:val="22"/>
          <w:szCs w:val="22"/>
        </w:rPr>
        <w:t xml:space="preserve"> </w:t>
      </w:r>
      <w:r w:rsidRPr="00F377F7">
        <w:rPr>
          <w:color w:val="000000"/>
          <w:sz w:val="22"/>
          <w:szCs w:val="22"/>
        </w:rPr>
        <w:t>contributions for their separate segregated funds, in accordance with the Code’s</w:t>
      </w:r>
      <w:r w:rsidR="00E476F9" w:rsidRPr="00F377F7">
        <w:rPr>
          <w:color w:val="000000"/>
          <w:sz w:val="22"/>
          <w:szCs w:val="22"/>
        </w:rPr>
        <w:t xml:space="preserve"> </w:t>
      </w:r>
      <w:r w:rsidRPr="00F377F7">
        <w:rPr>
          <w:color w:val="000000"/>
          <w:sz w:val="22"/>
          <w:szCs w:val="22"/>
        </w:rPr>
        <w:t>requirements.</w:t>
      </w:r>
      <w:r w:rsidR="00E476F9" w:rsidRPr="00F377F7">
        <w:rPr>
          <w:rStyle w:val="FootnoteReference"/>
          <w:color w:val="000000"/>
          <w:sz w:val="22"/>
          <w:szCs w:val="22"/>
        </w:rPr>
        <w:footnoteReference w:id="13"/>
      </w:r>
      <w:r w:rsidRPr="00F377F7">
        <w:rPr>
          <w:color w:val="000000"/>
          <w:sz w:val="22"/>
          <w:szCs w:val="22"/>
        </w:rPr>
        <w:t xml:space="preserve"> However, the Code also includes analogous requirements for a</w:t>
      </w:r>
      <w:r w:rsidR="00E476F9" w:rsidRPr="00F377F7">
        <w:rPr>
          <w:color w:val="000000"/>
          <w:sz w:val="22"/>
          <w:szCs w:val="22"/>
        </w:rPr>
        <w:t xml:space="preserve"> </w:t>
      </w:r>
      <w:r w:rsidRPr="00F377F7">
        <w:rPr>
          <w:color w:val="000000"/>
          <w:sz w:val="22"/>
          <w:szCs w:val="22"/>
        </w:rPr>
        <w:t>separate segregated fund established by a corporation, which may only solicit and</w:t>
      </w:r>
      <w:r w:rsidR="00E476F9" w:rsidRPr="00F377F7">
        <w:rPr>
          <w:color w:val="000000"/>
          <w:sz w:val="22"/>
          <w:szCs w:val="22"/>
        </w:rPr>
        <w:t xml:space="preserve"> </w:t>
      </w:r>
      <w:r w:rsidRPr="00F377F7">
        <w:rPr>
          <w:color w:val="000000"/>
          <w:sz w:val="22"/>
          <w:szCs w:val="22"/>
        </w:rPr>
        <w:t>receive political contributions for the fund from its stockholders, executive or</w:t>
      </w:r>
      <w:r w:rsidR="00E476F9" w:rsidRPr="00F377F7">
        <w:rPr>
          <w:color w:val="000000"/>
          <w:sz w:val="22"/>
          <w:szCs w:val="22"/>
        </w:rPr>
        <w:t xml:space="preserve"> </w:t>
      </w:r>
      <w:r w:rsidRPr="00F377F7">
        <w:rPr>
          <w:color w:val="000000"/>
          <w:sz w:val="22"/>
          <w:szCs w:val="22"/>
        </w:rPr>
        <w:t>administrative personnel, and the immediate family members of those individuals.</w:t>
      </w:r>
      <w:r w:rsidR="00E476F9" w:rsidRPr="00F377F7">
        <w:rPr>
          <w:rStyle w:val="FootnoteReference"/>
          <w:color w:val="000000"/>
          <w:sz w:val="22"/>
          <w:szCs w:val="22"/>
        </w:rPr>
        <w:footnoteReference w:id="14"/>
      </w:r>
    </w:p>
    <w:p w:rsidR="00E476F9" w:rsidRPr="00F377F7" w:rsidRDefault="00E476F9" w:rsidP="00265186">
      <w:pPr>
        <w:autoSpaceDE w:val="0"/>
        <w:autoSpaceDN w:val="0"/>
        <w:adjustRightInd w:val="0"/>
        <w:rPr>
          <w:color w:val="000000"/>
          <w:sz w:val="22"/>
          <w:szCs w:val="22"/>
        </w:rPr>
      </w:pPr>
    </w:p>
    <w:p w:rsidR="00265186" w:rsidRPr="00F377F7" w:rsidRDefault="00265186" w:rsidP="00265186">
      <w:pPr>
        <w:autoSpaceDE w:val="0"/>
        <w:autoSpaceDN w:val="0"/>
        <w:adjustRightInd w:val="0"/>
        <w:rPr>
          <w:color w:val="000000"/>
          <w:sz w:val="22"/>
          <w:szCs w:val="22"/>
        </w:rPr>
      </w:pPr>
      <w:r w:rsidRPr="00F377F7">
        <w:rPr>
          <w:color w:val="000000"/>
          <w:sz w:val="22"/>
          <w:szCs w:val="22"/>
        </w:rPr>
        <w:t xml:space="preserve">Because the definition of “restricted group” </w:t>
      </w:r>
      <w:r w:rsidR="00E476F9" w:rsidRPr="00F377F7">
        <w:rPr>
          <w:color w:val="000000"/>
          <w:sz w:val="22"/>
          <w:szCs w:val="22"/>
        </w:rPr>
        <w:t xml:space="preserve">is relevant for corporations as </w:t>
      </w:r>
      <w:r w:rsidRPr="00F377F7">
        <w:rPr>
          <w:color w:val="000000"/>
          <w:sz w:val="22"/>
          <w:szCs w:val="22"/>
        </w:rPr>
        <w:t>well for membership organizations, we recommend amending the definition in the</w:t>
      </w:r>
      <w:r w:rsidR="00E476F9" w:rsidRPr="00F377F7">
        <w:rPr>
          <w:color w:val="000000"/>
          <w:sz w:val="22"/>
          <w:szCs w:val="22"/>
        </w:rPr>
        <w:t xml:space="preserve"> </w:t>
      </w:r>
      <w:r w:rsidRPr="00F377F7">
        <w:rPr>
          <w:color w:val="000000"/>
          <w:sz w:val="22"/>
          <w:szCs w:val="22"/>
        </w:rPr>
        <w:t>final rule to clarify that it includes certain individuals employed by or affiliated with</w:t>
      </w:r>
      <w:r w:rsidR="00E476F9" w:rsidRPr="00F377F7">
        <w:rPr>
          <w:color w:val="000000"/>
          <w:sz w:val="22"/>
          <w:szCs w:val="22"/>
        </w:rPr>
        <w:t xml:space="preserve"> </w:t>
      </w:r>
      <w:r w:rsidRPr="00F377F7">
        <w:rPr>
          <w:color w:val="000000"/>
          <w:sz w:val="22"/>
          <w:szCs w:val="22"/>
        </w:rPr>
        <w:t>a corporation, including its executive or administrative personnel, shareholders, and</w:t>
      </w:r>
      <w:r w:rsidR="00E476F9" w:rsidRPr="00F377F7">
        <w:rPr>
          <w:color w:val="000000"/>
          <w:sz w:val="22"/>
          <w:szCs w:val="22"/>
        </w:rPr>
        <w:t xml:space="preserve"> </w:t>
      </w:r>
      <w:r w:rsidRPr="00F377F7">
        <w:rPr>
          <w:color w:val="000000"/>
          <w:sz w:val="22"/>
          <w:szCs w:val="22"/>
        </w:rPr>
        <w:t>the immediate family members of those individuals. Elsewhere, § 146-3-5.3.1.d of</w:t>
      </w:r>
      <w:r w:rsidR="00E476F9" w:rsidRPr="00F377F7">
        <w:rPr>
          <w:color w:val="000000"/>
          <w:sz w:val="22"/>
          <w:szCs w:val="22"/>
        </w:rPr>
        <w:t xml:space="preserve"> </w:t>
      </w:r>
      <w:r w:rsidRPr="00F377F7">
        <w:rPr>
          <w:color w:val="000000"/>
          <w:sz w:val="22"/>
          <w:szCs w:val="22"/>
        </w:rPr>
        <w:t>the proposed rule defines “restricted classes,” for purposes of contribution</w:t>
      </w:r>
      <w:r w:rsidR="00E476F9" w:rsidRPr="00F377F7">
        <w:rPr>
          <w:color w:val="000000"/>
          <w:sz w:val="22"/>
          <w:szCs w:val="22"/>
        </w:rPr>
        <w:t xml:space="preserve"> </w:t>
      </w:r>
      <w:r w:rsidRPr="00F377F7">
        <w:rPr>
          <w:color w:val="000000"/>
          <w:sz w:val="22"/>
          <w:szCs w:val="22"/>
        </w:rPr>
        <w:t>restrictions for corporations and membership organizations, to include a</w:t>
      </w:r>
      <w:r w:rsidR="00E476F9" w:rsidRPr="00F377F7">
        <w:rPr>
          <w:color w:val="000000"/>
          <w:sz w:val="22"/>
          <w:szCs w:val="22"/>
        </w:rPr>
        <w:t xml:space="preserve"> </w:t>
      </w:r>
      <w:r w:rsidRPr="00F377F7">
        <w:rPr>
          <w:color w:val="000000"/>
          <w:sz w:val="22"/>
          <w:szCs w:val="22"/>
        </w:rPr>
        <w:t>corporation’s stockholders and executive or administrative personnel, along with</w:t>
      </w:r>
      <w:r w:rsidR="00E476F9" w:rsidRPr="00F377F7">
        <w:rPr>
          <w:color w:val="000000"/>
          <w:sz w:val="22"/>
          <w:szCs w:val="22"/>
        </w:rPr>
        <w:t xml:space="preserve"> </w:t>
      </w:r>
      <w:r w:rsidRPr="00F377F7">
        <w:rPr>
          <w:color w:val="000000"/>
          <w:sz w:val="22"/>
          <w:szCs w:val="22"/>
        </w:rPr>
        <w:t>their family members; § 146-3-5.3.1’s definition o</w:t>
      </w:r>
      <w:r w:rsidR="00E476F9" w:rsidRPr="00F377F7">
        <w:rPr>
          <w:color w:val="000000"/>
          <w:sz w:val="22"/>
          <w:szCs w:val="22"/>
        </w:rPr>
        <w:t xml:space="preserve">f “restricted classes” does not </w:t>
      </w:r>
      <w:r w:rsidRPr="00F377F7">
        <w:rPr>
          <w:color w:val="000000"/>
          <w:sz w:val="22"/>
          <w:szCs w:val="22"/>
        </w:rPr>
        <w:t>explain who comprises the “restricted classes” of membership organizations,</w:t>
      </w:r>
      <w:r w:rsidR="00E476F9" w:rsidRPr="00F377F7">
        <w:rPr>
          <w:color w:val="000000"/>
          <w:sz w:val="22"/>
          <w:szCs w:val="22"/>
        </w:rPr>
        <w:t xml:space="preserve"> </w:t>
      </w:r>
      <w:r w:rsidRPr="00F377F7">
        <w:rPr>
          <w:color w:val="000000"/>
          <w:sz w:val="22"/>
          <w:szCs w:val="22"/>
        </w:rPr>
        <w:t>however.</w:t>
      </w:r>
    </w:p>
    <w:p w:rsidR="00E476F9" w:rsidRPr="00F377F7" w:rsidRDefault="00E476F9" w:rsidP="00265186">
      <w:pPr>
        <w:autoSpaceDE w:val="0"/>
        <w:autoSpaceDN w:val="0"/>
        <w:adjustRightInd w:val="0"/>
        <w:rPr>
          <w:color w:val="000000"/>
          <w:sz w:val="22"/>
          <w:szCs w:val="22"/>
        </w:rPr>
      </w:pPr>
    </w:p>
    <w:p w:rsidR="00265186" w:rsidRPr="00F377F7" w:rsidRDefault="00265186" w:rsidP="00265186">
      <w:pPr>
        <w:autoSpaceDE w:val="0"/>
        <w:autoSpaceDN w:val="0"/>
        <w:adjustRightInd w:val="0"/>
        <w:rPr>
          <w:color w:val="000000"/>
          <w:sz w:val="22"/>
          <w:szCs w:val="22"/>
        </w:rPr>
      </w:pPr>
      <w:r w:rsidRPr="00F377F7">
        <w:rPr>
          <w:color w:val="000000"/>
          <w:sz w:val="22"/>
          <w:szCs w:val="22"/>
        </w:rPr>
        <w:t>Accordingly, the final rule should include a s</w:t>
      </w:r>
      <w:r w:rsidR="00E476F9" w:rsidRPr="00F377F7">
        <w:rPr>
          <w:color w:val="000000"/>
          <w:sz w:val="22"/>
          <w:szCs w:val="22"/>
        </w:rPr>
        <w:t xml:space="preserve">ingle, comprehensive definition </w:t>
      </w:r>
      <w:r w:rsidRPr="00F377F7">
        <w:rPr>
          <w:color w:val="000000"/>
          <w:sz w:val="22"/>
          <w:szCs w:val="22"/>
        </w:rPr>
        <w:t>that sets forth the meaning of “restricted group or classes” for both corporations and</w:t>
      </w:r>
      <w:r w:rsidR="00E476F9" w:rsidRPr="00F377F7">
        <w:rPr>
          <w:color w:val="000000"/>
          <w:sz w:val="22"/>
          <w:szCs w:val="22"/>
        </w:rPr>
        <w:t xml:space="preserve"> </w:t>
      </w:r>
      <w:r w:rsidRPr="00F377F7">
        <w:rPr>
          <w:color w:val="000000"/>
          <w:sz w:val="22"/>
          <w:szCs w:val="22"/>
        </w:rPr>
        <w:t>membership organizations.</w:t>
      </w:r>
      <w:r w:rsidR="00E476F9" w:rsidRPr="00F377F7">
        <w:rPr>
          <w:rStyle w:val="FootnoteReference"/>
          <w:color w:val="000000"/>
          <w:sz w:val="22"/>
          <w:szCs w:val="22"/>
        </w:rPr>
        <w:footnoteReference w:id="15"/>
      </w:r>
      <w:r w:rsidRPr="00F377F7">
        <w:rPr>
          <w:color w:val="000000"/>
          <w:sz w:val="22"/>
          <w:szCs w:val="22"/>
        </w:rPr>
        <w:t xml:space="preserve"> For guidance in formulating this definition, we suggest</w:t>
      </w:r>
      <w:r w:rsidR="00E476F9" w:rsidRPr="00F377F7">
        <w:rPr>
          <w:color w:val="000000"/>
          <w:sz w:val="22"/>
          <w:szCs w:val="22"/>
        </w:rPr>
        <w:t xml:space="preserve"> </w:t>
      </w:r>
      <w:r w:rsidRPr="00F377F7">
        <w:rPr>
          <w:color w:val="000000"/>
          <w:sz w:val="22"/>
          <w:szCs w:val="22"/>
        </w:rPr>
        <w:t>the Commission review the FEC’s regulation defining restricted classes of</w:t>
      </w:r>
      <w:r w:rsidR="00E476F9" w:rsidRPr="00F377F7">
        <w:rPr>
          <w:color w:val="000000"/>
          <w:sz w:val="22"/>
          <w:szCs w:val="22"/>
        </w:rPr>
        <w:t xml:space="preserve"> </w:t>
      </w:r>
      <w:r w:rsidRPr="00F377F7">
        <w:rPr>
          <w:color w:val="000000"/>
          <w:sz w:val="22"/>
          <w:szCs w:val="22"/>
        </w:rPr>
        <w:t>corporations and membership organizations.</w:t>
      </w:r>
      <w:r w:rsidR="00E476F9" w:rsidRPr="00F377F7">
        <w:rPr>
          <w:rStyle w:val="FootnoteReference"/>
          <w:color w:val="000000"/>
          <w:sz w:val="22"/>
          <w:szCs w:val="22"/>
        </w:rPr>
        <w:footnoteReference w:id="16"/>
      </w:r>
    </w:p>
    <w:p w:rsidR="00E476F9" w:rsidRPr="00F377F7" w:rsidRDefault="00E476F9" w:rsidP="00265186">
      <w:pPr>
        <w:autoSpaceDE w:val="0"/>
        <w:autoSpaceDN w:val="0"/>
        <w:adjustRightInd w:val="0"/>
        <w:rPr>
          <w:color w:val="000000"/>
          <w:sz w:val="22"/>
          <w:szCs w:val="22"/>
        </w:rPr>
      </w:pPr>
    </w:p>
    <w:p w:rsidR="00137DB0" w:rsidRPr="00F377F7" w:rsidRDefault="00137DB0" w:rsidP="00137DB0">
      <w:pPr>
        <w:autoSpaceDE w:val="0"/>
        <w:autoSpaceDN w:val="0"/>
        <w:adjustRightInd w:val="0"/>
        <w:rPr>
          <w:b/>
          <w:color w:val="000000"/>
          <w:sz w:val="22"/>
          <w:szCs w:val="22"/>
        </w:rPr>
      </w:pPr>
      <w:r w:rsidRPr="00F377F7">
        <w:rPr>
          <w:b/>
          <w:color w:val="000000"/>
          <w:sz w:val="22"/>
          <w:szCs w:val="22"/>
        </w:rPr>
        <w:t>RESPONSE:</w:t>
      </w:r>
    </w:p>
    <w:p w:rsidR="00137DB0" w:rsidRPr="00F377F7" w:rsidRDefault="00137DB0" w:rsidP="00137DB0">
      <w:pPr>
        <w:autoSpaceDE w:val="0"/>
        <w:autoSpaceDN w:val="0"/>
        <w:adjustRightInd w:val="0"/>
        <w:rPr>
          <w:color w:val="000000"/>
          <w:sz w:val="22"/>
          <w:szCs w:val="22"/>
        </w:rPr>
      </w:pPr>
    </w:p>
    <w:p w:rsidR="004908CF" w:rsidRPr="00F377F7" w:rsidRDefault="0028713E" w:rsidP="00137DB0">
      <w:pPr>
        <w:autoSpaceDE w:val="0"/>
        <w:autoSpaceDN w:val="0"/>
        <w:adjustRightInd w:val="0"/>
        <w:rPr>
          <w:b/>
          <w:color w:val="000000"/>
          <w:sz w:val="22"/>
          <w:szCs w:val="22"/>
        </w:rPr>
      </w:pPr>
      <w:proofErr w:type="gramStart"/>
      <w:r w:rsidRPr="00F377F7">
        <w:rPr>
          <w:b/>
          <w:color w:val="000000"/>
          <w:sz w:val="22"/>
          <w:szCs w:val="22"/>
        </w:rPr>
        <w:t>For consistency and to avoid confusion,</w:t>
      </w:r>
      <w:proofErr w:type="gramEnd"/>
      <w:r w:rsidRPr="00F377F7">
        <w:rPr>
          <w:b/>
          <w:color w:val="000000"/>
          <w:sz w:val="22"/>
          <w:szCs w:val="22"/>
        </w:rPr>
        <w:t xml:space="preserve"> t</w:t>
      </w:r>
      <w:r w:rsidR="004908CF" w:rsidRPr="00F377F7">
        <w:rPr>
          <w:b/>
          <w:color w:val="000000"/>
          <w:sz w:val="22"/>
          <w:szCs w:val="22"/>
        </w:rPr>
        <w:t xml:space="preserve">he </w:t>
      </w:r>
      <w:r w:rsidR="006A5DE9">
        <w:rPr>
          <w:b/>
          <w:color w:val="000000"/>
          <w:sz w:val="22"/>
          <w:szCs w:val="22"/>
        </w:rPr>
        <w:t>term</w:t>
      </w:r>
      <w:r w:rsidR="004908CF" w:rsidRPr="00F377F7">
        <w:rPr>
          <w:b/>
          <w:color w:val="000000"/>
          <w:sz w:val="22"/>
          <w:szCs w:val="22"/>
        </w:rPr>
        <w:t xml:space="preserve"> “restricted </w:t>
      </w:r>
      <w:r w:rsidR="006A5DE9">
        <w:rPr>
          <w:b/>
          <w:color w:val="000000"/>
          <w:sz w:val="22"/>
          <w:szCs w:val="22"/>
        </w:rPr>
        <w:t>group</w:t>
      </w:r>
      <w:r w:rsidR="004908CF" w:rsidRPr="00F377F7">
        <w:rPr>
          <w:b/>
          <w:color w:val="000000"/>
          <w:sz w:val="22"/>
          <w:szCs w:val="22"/>
        </w:rPr>
        <w:t>” will be</w:t>
      </w:r>
      <w:r w:rsidRPr="00F377F7">
        <w:rPr>
          <w:b/>
          <w:color w:val="000000"/>
          <w:sz w:val="22"/>
          <w:szCs w:val="22"/>
        </w:rPr>
        <w:t xml:space="preserve"> </w:t>
      </w:r>
      <w:r w:rsidR="008F63FF">
        <w:rPr>
          <w:b/>
          <w:color w:val="000000"/>
          <w:sz w:val="22"/>
          <w:szCs w:val="22"/>
        </w:rPr>
        <w:t>used t</w:t>
      </w:r>
      <w:r w:rsidR="006A5DE9">
        <w:rPr>
          <w:b/>
          <w:color w:val="000000"/>
          <w:sz w:val="22"/>
          <w:szCs w:val="22"/>
        </w:rPr>
        <w:t xml:space="preserve">hroughout the Rule and the term </w:t>
      </w:r>
      <w:r w:rsidRPr="00F377F7">
        <w:rPr>
          <w:b/>
          <w:color w:val="000000"/>
          <w:sz w:val="22"/>
          <w:szCs w:val="22"/>
        </w:rPr>
        <w:t xml:space="preserve">“restricted </w:t>
      </w:r>
      <w:r w:rsidR="006A5DE9">
        <w:rPr>
          <w:b/>
          <w:color w:val="000000"/>
          <w:sz w:val="22"/>
          <w:szCs w:val="22"/>
        </w:rPr>
        <w:t>class</w:t>
      </w:r>
      <w:r w:rsidRPr="00F377F7">
        <w:rPr>
          <w:b/>
          <w:color w:val="000000"/>
          <w:sz w:val="22"/>
          <w:szCs w:val="22"/>
        </w:rPr>
        <w:t xml:space="preserve">” </w:t>
      </w:r>
      <w:r w:rsidR="006A5DE9">
        <w:rPr>
          <w:b/>
          <w:color w:val="000000"/>
          <w:sz w:val="22"/>
          <w:szCs w:val="22"/>
        </w:rPr>
        <w:t xml:space="preserve">will be removed. Additionally, the </w:t>
      </w:r>
      <w:r w:rsidR="008F63FF">
        <w:rPr>
          <w:b/>
          <w:color w:val="000000"/>
          <w:sz w:val="22"/>
          <w:szCs w:val="22"/>
        </w:rPr>
        <w:t xml:space="preserve">Rule will clearly incorporate </w:t>
      </w:r>
      <w:r w:rsidRPr="00F377F7">
        <w:rPr>
          <w:b/>
          <w:color w:val="000000"/>
          <w:sz w:val="22"/>
          <w:szCs w:val="22"/>
        </w:rPr>
        <w:t>membership organizations and corporations, their associated personnel, stockholders, etc. and their families</w:t>
      </w:r>
      <w:r w:rsidR="004908CF" w:rsidRPr="00F377F7">
        <w:rPr>
          <w:b/>
          <w:color w:val="000000"/>
          <w:sz w:val="22"/>
          <w:szCs w:val="22"/>
        </w:rPr>
        <w:t xml:space="preserve">. </w:t>
      </w:r>
    </w:p>
    <w:p w:rsidR="00137DB0" w:rsidRPr="00F377F7" w:rsidRDefault="00137DB0" w:rsidP="00265186">
      <w:pPr>
        <w:autoSpaceDE w:val="0"/>
        <w:autoSpaceDN w:val="0"/>
        <w:adjustRightInd w:val="0"/>
        <w:rPr>
          <w:color w:val="000000"/>
          <w:sz w:val="22"/>
          <w:szCs w:val="22"/>
        </w:rPr>
      </w:pPr>
    </w:p>
    <w:p w:rsidR="00E476F9" w:rsidRPr="00F377F7" w:rsidRDefault="00265186" w:rsidP="00265186">
      <w:pPr>
        <w:pStyle w:val="ListParagraph"/>
        <w:numPr>
          <w:ilvl w:val="0"/>
          <w:numId w:val="3"/>
        </w:numPr>
        <w:autoSpaceDE w:val="0"/>
        <w:autoSpaceDN w:val="0"/>
        <w:adjustRightInd w:val="0"/>
        <w:rPr>
          <w:b/>
          <w:bCs/>
          <w:color w:val="000000"/>
          <w:sz w:val="22"/>
          <w:szCs w:val="22"/>
        </w:rPr>
      </w:pPr>
      <w:r w:rsidRPr="00F377F7">
        <w:rPr>
          <w:b/>
          <w:bCs/>
          <w:color w:val="000000"/>
          <w:sz w:val="22"/>
          <w:szCs w:val="22"/>
        </w:rPr>
        <w:t>§ 146-3-5. “Contribution Limitations, Sources, and Restrictions”</w:t>
      </w:r>
    </w:p>
    <w:p w:rsidR="00E476F9" w:rsidRPr="00F377F7" w:rsidRDefault="00E476F9" w:rsidP="00E476F9">
      <w:pPr>
        <w:pStyle w:val="ListParagraph"/>
        <w:autoSpaceDE w:val="0"/>
        <w:autoSpaceDN w:val="0"/>
        <w:adjustRightInd w:val="0"/>
        <w:rPr>
          <w:b/>
          <w:bCs/>
          <w:color w:val="000000"/>
          <w:sz w:val="22"/>
          <w:szCs w:val="22"/>
        </w:rPr>
      </w:pPr>
    </w:p>
    <w:p w:rsidR="00265186" w:rsidRPr="00F377F7" w:rsidRDefault="00265186" w:rsidP="00E476F9">
      <w:pPr>
        <w:pStyle w:val="ListParagraph"/>
        <w:numPr>
          <w:ilvl w:val="1"/>
          <w:numId w:val="3"/>
        </w:numPr>
        <w:autoSpaceDE w:val="0"/>
        <w:autoSpaceDN w:val="0"/>
        <w:adjustRightInd w:val="0"/>
        <w:rPr>
          <w:b/>
          <w:bCs/>
          <w:color w:val="000000"/>
          <w:sz w:val="22"/>
          <w:szCs w:val="22"/>
        </w:rPr>
      </w:pPr>
      <w:r w:rsidRPr="00F377F7">
        <w:rPr>
          <w:i/>
          <w:iCs/>
          <w:color w:val="000000"/>
          <w:sz w:val="22"/>
          <w:szCs w:val="22"/>
        </w:rPr>
        <w:t>Application of Contribution Limits to Candidates in Nonpartisan Elections</w:t>
      </w:r>
    </w:p>
    <w:p w:rsidR="00E476F9" w:rsidRPr="00F377F7" w:rsidRDefault="00E476F9" w:rsidP="00265186">
      <w:pPr>
        <w:autoSpaceDE w:val="0"/>
        <w:autoSpaceDN w:val="0"/>
        <w:adjustRightInd w:val="0"/>
        <w:rPr>
          <w:color w:val="000000"/>
          <w:sz w:val="22"/>
          <w:szCs w:val="22"/>
        </w:rPr>
      </w:pPr>
    </w:p>
    <w:p w:rsidR="00E476F9" w:rsidRPr="00F377F7" w:rsidRDefault="00265186" w:rsidP="00265186">
      <w:pPr>
        <w:autoSpaceDE w:val="0"/>
        <w:autoSpaceDN w:val="0"/>
        <w:adjustRightInd w:val="0"/>
        <w:rPr>
          <w:color w:val="000000"/>
          <w:sz w:val="22"/>
          <w:szCs w:val="22"/>
        </w:rPr>
      </w:pPr>
      <w:r w:rsidRPr="00F377F7">
        <w:rPr>
          <w:color w:val="000000"/>
          <w:sz w:val="22"/>
          <w:szCs w:val="22"/>
        </w:rPr>
        <w:t>In general, the proposed rule does not spec</w:t>
      </w:r>
      <w:r w:rsidR="00E476F9" w:rsidRPr="00F377F7">
        <w:rPr>
          <w:color w:val="000000"/>
          <w:sz w:val="22"/>
          <w:szCs w:val="22"/>
        </w:rPr>
        <w:t xml:space="preserve">ify how limits on contributions </w:t>
      </w:r>
      <w:r w:rsidRPr="00F377F7">
        <w:rPr>
          <w:color w:val="000000"/>
          <w:sz w:val="22"/>
          <w:szCs w:val="22"/>
        </w:rPr>
        <w:t>apply to candidates in nonpartisan elections, including individuals running for</w:t>
      </w:r>
      <w:r w:rsidR="00E476F9" w:rsidRPr="00F377F7">
        <w:rPr>
          <w:color w:val="000000"/>
          <w:sz w:val="22"/>
          <w:szCs w:val="22"/>
        </w:rPr>
        <w:t xml:space="preserve"> </w:t>
      </w:r>
      <w:r w:rsidRPr="00F377F7">
        <w:rPr>
          <w:color w:val="000000"/>
          <w:sz w:val="22"/>
          <w:szCs w:val="22"/>
        </w:rPr>
        <w:t xml:space="preserve">judicial office. </w:t>
      </w:r>
      <w:proofErr w:type="gramStart"/>
      <w:r w:rsidRPr="00F377F7">
        <w:rPr>
          <w:color w:val="000000"/>
          <w:sz w:val="22"/>
          <w:szCs w:val="22"/>
        </w:rPr>
        <w:t>While the proposed rule, in § 146-3-3, describes how candidates in</w:t>
      </w:r>
      <w:r w:rsidR="00E476F9" w:rsidRPr="00F377F7">
        <w:rPr>
          <w:color w:val="000000"/>
          <w:sz w:val="22"/>
          <w:szCs w:val="22"/>
        </w:rPr>
        <w:t xml:space="preserve"> </w:t>
      </w:r>
      <w:r w:rsidRPr="00F377F7">
        <w:rPr>
          <w:color w:val="000000"/>
          <w:sz w:val="22"/>
          <w:szCs w:val="22"/>
        </w:rPr>
        <w:t>partisan races should attribute contributions received toward either a primary or</w:t>
      </w:r>
      <w:r w:rsidR="00E476F9" w:rsidRPr="00F377F7">
        <w:rPr>
          <w:color w:val="000000"/>
          <w:sz w:val="22"/>
          <w:szCs w:val="22"/>
        </w:rPr>
        <w:t xml:space="preserve"> </w:t>
      </w:r>
      <w:r w:rsidRPr="00F377F7">
        <w:rPr>
          <w:color w:val="000000"/>
          <w:sz w:val="22"/>
          <w:szCs w:val="22"/>
        </w:rPr>
        <w:t>general election in a variety of circumstances, it does not specify how candidates in</w:t>
      </w:r>
      <w:r w:rsidR="00E476F9" w:rsidRPr="00F377F7">
        <w:rPr>
          <w:color w:val="000000"/>
          <w:sz w:val="22"/>
          <w:szCs w:val="22"/>
        </w:rPr>
        <w:t xml:space="preserve"> </w:t>
      </w:r>
      <w:r w:rsidRPr="00F377F7">
        <w:rPr>
          <w:color w:val="000000"/>
          <w:sz w:val="22"/>
          <w:szCs w:val="22"/>
        </w:rPr>
        <w:lastRenderedPageBreak/>
        <w:t>nonpartisan elections should attribute contributions made to their campaigns, nor</w:t>
      </w:r>
      <w:r w:rsidR="00E476F9" w:rsidRPr="00F377F7">
        <w:rPr>
          <w:color w:val="000000"/>
          <w:sz w:val="22"/>
          <w:szCs w:val="22"/>
        </w:rPr>
        <w:t xml:space="preserve"> </w:t>
      </w:r>
      <w:r w:rsidRPr="00F377F7">
        <w:rPr>
          <w:color w:val="000000"/>
          <w:sz w:val="22"/>
          <w:szCs w:val="22"/>
        </w:rPr>
        <w:t>does the proposed rule specifically address whether candidates in nonpartisan</w:t>
      </w:r>
      <w:r w:rsidR="00E476F9" w:rsidRPr="00F377F7">
        <w:rPr>
          <w:color w:val="000000"/>
          <w:sz w:val="22"/>
          <w:szCs w:val="22"/>
        </w:rPr>
        <w:t xml:space="preserve"> </w:t>
      </w:r>
      <w:r w:rsidRPr="00F377F7">
        <w:rPr>
          <w:color w:val="000000"/>
          <w:sz w:val="22"/>
          <w:szCs w:val="22"/>
        </w:rPr>
        <w:t>elections are subject to limits on contributions.</w:t>
      </w:r>
      <w:proofErr w:type="gramEnd"/>
    </w:p>
    <w:p w:rsidR="00E476F9" w:rsidRPr="00F377F7" w:rsidRDefault="00E476F9" w:rsidP="00265186">
      <w:pPr>
        <w:autoSpaceDE w:val="0"/>
        <w:autoSpaceDN w:val="0"/>
        <w:adjustRightInd w:val="0"/>
        <w:rPr>
          <w:color w:val="000000"/>
          <w:sz w:val="22"/>
          <w:szCs w:val="22"/>
        </w:rPr>
      </w:pPr>
    </w:p>
    <w:p w:rsidR="00265186" w:rsidRPr="00F377F7" w:rsidRDefault="00265186" w:rsidP="00265186">
      <w:pPr>
        <w:autoSpaceDE w:val="0"/>
        <w:autoSpaceDN w:val="0"/>
        <w:adjustRightInd w:val="0"/>
        <w:rPr>
          <w:color w:val="000000"/>
          <w:sz w:val="22"/>
          <w:szCs w:val="22"/>
        </w:rPr>
      </w:pPr>
      <w:r w:rsidRPr="00F377F7">
        <w:rPr>
          <w:color w:val="000000"/>
          <w:sz w:val="22"/>
          <w:szCs w:val="22"/>
        </w:rPr>
        <w:t>Since candidates running in nonpartisan ele</w:t>
      </w:r>
      <w:r w:rsidR="00E476F9" w:rsidRPr="00F377F7">
        <w:rPr>
          <w:color w:val="000000"/>
          <w:sz w:val="22"/>
          <w:szCs w:val="22"/>
        </w:rPr>
        <w:t xml:space="preserve">ctions generally are subject to </w:t>
      </w:r>
      <w:r w:rsidRPr="00F377F7">
        <w:rPr>
          <w:color w:val="000000"/>
          <w:sz w:val="22"/>
          <w:szCs w:val="22"/>
        </w:rPr>
        <w:t>the same statutory limits on contributions applicable to candidates in partisan</w:t>
      </w:r>
      <w:r w:rsidR="00E476F9" w:rsidRPr="00F377F7">
        <w:rPr>
          <w:color w:val="000000"/>
          <w:sz w:val="22"/>
          <w:szCs w:val="22"/>
        </w:rPr>
        <w:t xml:space="preserve"> </w:t>
      </w:r>
      <w:r w:rsidRPr="00F377F7">
        <w:rPr>
          <w:color w:val="000000"/>
          <w:sz w:val="22"/>
          <w:szCs w:val="22"/>
        </w:rPr>
        <w:t>races,</w:t>
      </w:r>
      <w:r w:rsidR="00E476F9" w:rsidRPr="00F377F7">
        <w:rPr>
          <w:rStyle w:val="FootnoteReference"/>
          <w:color w:val="000000"/>
          <w:sz w:val="22"/>
          <w:szCs w:val="22"/>
        </w:rPr>
        <w:footnoteReference w:id="17"/>
      </w:r>
      <w:r w:rsidRPr="00F377F7">
        <w:rPr>
          <w:color w:val="000000"/>
          <w:sz w:val="22"/>
          <w:szCs w:val="22"/>
        </w:rPr>
        <w:t xml:space="preserve"> the final rule should make clear that contribution limits do apply to</w:t>
      </w:r>
      <w:r w:rsidR="00E476F9" w:rsidRPr="00F377F7">
        <w:rPr>
          <w:color w:val="000000"/>
          <w:sz w:val="22"/>
          <w:szCs w:val="22"/>
        </w:rPr>
        <w:t xml:space="preserve"> </w:t>
      </w:r>
      <w:r w:rsidRPr="00F377F7">
        <w:rPr>
          <w:color w:val="000000"/>
          <w:sz w:val="22"/>
          <w:szCs w:val="22"/>
        </w:rPr>
        <w:t>candidates in nonpartisan elections, and describe how these candidates should</w:t>
      </w:r>
      <w:r w:rsidR="00E476F9" w:rsidRPr="00F377F7">
        <w:rPr>
          <w:color w:val="000000"/>
          <w:sz w:val="22"/>
          <w:szCs w:val="22"/>
        </w:rPr>
        <w:t xml:space="preserve"> </w:t>
      </w:r>
      <w:r w:rsidRPr="00F377F7">
        <w:rPr>
          <w:color w:val="000000"/>
          <w:sz w:val="22"/>
          <w:szCs w:val="22"/>
        </w:rPr>
        <w:t>attribute contributions they receive toward the limits.</w:t>
      </w:r>
    </w:p>
    <w:p w:rsidR="00E476F9" w:rsidRPr="00F377F7" w:rsidRDefault="00E476F9" w:rsidP="00265186">
      <w:pPr>
        <w:autoSpaceDE w:val="0"/>
        <w:autoSpaceDN w:val="0"/>
        <w:adjustRightInd w:val="0"/>
        <w:rPr>
          <w:color w:val="000000"/>
          <w:sz w:val="22"/>
          <w:szCs w:val="22"/>
        </w:rPr>
      </w:pPr>
    </w:p>
    <w:p w:rsidR="00137DB0" w:rsidRPr="00F377F7" w:rsidRDefault="00137DB0" w:rsidP="00137DB0">
      <w:pPr>
        <w:autoSpaceDE w:val="0"/>
        <w:autoSpaceDN w:val="0"/>
        <w:adjustRightInd w:val="0"/>
        <w:rPr>
          <w:b/>
          <w:color w:val="000000"/>
          <w:sz w:val="22"/>
          <w:szCs w:val="22"/>
        </w:rPr>
      </w:pPr>
      <w:r w:rsidRPr="00F377F7">
        <w:rPr>
          <w:b/>
          <w:color w:val="000000"/>
          <w:sz w:val="22"/>
          <w:szCs w:val="22"/>
        </w:rPr>
        <w:t>RESPONSE:</w:t>
      </w:r>
    </w:p>
    <w:p w:rsidR="00137DB0" w:rsidRPr="00F377F7" w:rsidRDefault="00137DB0" w:rsidP="00137DB0">
      <w:pPr>
        <w:autoSpaceDE w:val="0"/>
        <w:autoSpaceDN w:val="0"/>
        <w:adjustRightInd w:val="0"/>
        <w:rPr>
          <w:color w:val="000000"/>
          <w:sz w:val="22"/>
          <w:szCs w:val="22"/>
        </w:rPr>
      </w:pPr>
    </w:p>
    <w:p w:rsidR="004908CF" w:rsidRPr="00F377F7" w:rsidRDefault="004908CF" w:rsidP="00137DB0">
      <w:pPr>
        <w:autoSpaceDE w:val="0"/>
        <w:autoSpaceDN w:val="0"/>
        <w:adjustRightInd w:val="0"/>
        <w:rPr>
          <w:b/>
          <w:color w:val="000000"/>
          <w:sz w:val="22"/>
          <w:szCs w:val="22"/>
        </w:rPr>
      </w:pPr>
      <w:r w:rsidRPr="00F377F7">
        <w:rPr>
          <w:b/>
          <w:color w:val="000000"/>
          <w:sz w:val="22"/>
          <w:szCs w:val="22"/>
        </w:rPr>
        <w:t xml:space="preserve">The Rule </w:t>
      </w:r>
      <w:proofErr w:type="gramStart"/>
      <w:r w:rsidRPr="00F377F7">
        <w:rPr>
          <w:b/>
          <w:color w:val="000000"/>
          <w:sz w:val="22"/>
          <w:szCs w:val="22"/>
        </w:rPr>
        <w:t>will be amended</w:t>
      </w:r>
      <w:proofErr w:type="gramEnd"/>
      <w:r w:rsidRPr="00F377F7">
        <w:rPr>
          <w:b/>
          <w:color w:val="000000"/>
          <w:sz w:val="22"/>
          <w:szCs w:val="22"/>
        </w:rPr>
        <w:t xml:space="preserve"> to clarify that </w:t>
      </w:r>
      <w:r w:rsidR="0028716E" w:rsidRPr="00F377F7">
        <w:rPr>
          <w:b/>
          <w:color w:val="000000"/>
          <w:sz w:val="22"/>
          <w:szCs w:val="22"/>
        </w:rPr>
        <w:t xml:space="preserve">General elections for </w:t>
      </w:r>
      <w:r w:rsidRPr="00F377F7">
        <w:rPr>
          <w:b/>
          <w:color w:val="000000"/>
          <w:sz w:val="22"/>
          <w:szCs w:val="22"/>
        </w:rPr>
        <w:t>nonpartisan office</w:t>
      </w:r>
      <w:r w:rsidR="0028716E" w:rsidRPr="00F377F7">
        <w:rPr>
          <w:b/>
          <w:color w:val="000000"/>
          <w:sz w:val="22"/>
          <w:szCs w:val="22"/>
        </w:rPr>
        <w:t>s</w:t>
      </w:r>
      <w:r w:rsidRPr="00F377F7">
        <w:rPr>
          <w:b/>
          <w:color w:val="000000"/>
          <w:sz w:val="22"/>
          <w:szCs w:val="22"/>
        </w:rPr>
        <w:t xml:space="preserve"> may, for reporting purposes, be applied during a partisan primary election </w:t>
      </w:r>
      <w:r w:rsidR="0028716E" w:rsidRPr="00F377F7">
        <w:rPr>
          <w:b/>
          <w:color w:val="000000"/>
          <w:sz w:val="22"/>
          <w:szCs w:val="22"/>
        </w:rPr>
        <w:t xml:space="preserve">reporting </w:t>
      </w:r>
      <w:r w:rsidRPr="00F377F7">
        <w:rPr>
          <w:b/>
          <w:color w:val="000000"/>
          <w:sz w:val="22"/>
          <w:szCs w:val="22"/>
        </w:rPr>
        <w:t>period.</w:t>
      </w:r>
    </w:p>
    <w:p w:rsidR="00137DB0" w:rsidRPr="00F377F7" w:rsidRDefault="00137DB0" w:rsidP="00265186">
      <w:pPr>
        <w:autoSpaceDE w:val="0"/>
        <w:autoSpaceDN w:val="0"/>
        <w:adjustRightInd w:val="0"/>
        <w:rPr>
          <w:color w:val="000000"/>
          <w:sz w:val="22"/>
          <w:szCs w:val="22"/>
        </w:rPr>
      </w:pPr>
    </w:p>
    <w:p w:rsidR="00265186" w:rsidRPr="00F377F7" w:rsidRDefault="00265186" w:rsidP="00E476F9">
      <w:pPr>
        <w:pStyle w:val="ListParagraph"/>
        <w:numPr>
          <w:ilvl w:val="1"/>
          <w:numId w:val="3"/>
        </w:numPr>
        <w:autoSpaceDE w:val="0"/>
        <w:autoSpaceDN w:val="0"/>
        <w:adjustRightInd w:val="0"/>
        <w:rPr>
          <w:i/>
          <w:iCs/>
          <w:color w:val="000000"/>
          <w:sz w:val="22"/>
          <w:szCs w:val="22"/>
        </w:rPr>
      </w:pPr>
      <w:r w:rsidRPr="00F377F7">
        <w:rPr>
          <w:i/>
          <w:iCs/>
          <w:color w:val="000000"/>
          <w:sz w:val="22"/>
          <w:szCs w:val="22"/>
        </w:rPr>
        <w:t>Subsection 5.2.11. Meaning of “Fair Market Value”</w:t>
      </w:r>
    </w:p>
    <w:p w:rsidR="00E476F9" w:rsidRPr="00F377F7" w:rsidRDefault="00E476F9" w:rsidP="00E476F9">
      <w:pPr>
        <w:pStyle w:val="ListParagraph"/>
        <w:autoSpaceDE w:val="0"/>
        <w:autoSpaceDN w:val="0"/>
        <w:adjustRightInd w:val="0"/>
        <w:ind w:left="1440"/>
        <w:rPr>
          <w:i/>
          <w:iCs/>
          <w:color w:val="000000"/>
          <w:sz w:val="22"/>
          <w:szCs w:val="22"/>
        </w:rPr>
      </w:pPr>
    </w:p>
    <w:p w:rsidR="00265186" w:rsidRPr="00F377F7" w:rsidRDefault="00265186" w:rsidP="00265186">
      <w:pPr>
        <w:autoSpaceDE w:val="0"/>
        <w:autoSpaceDN w:val="0"/>
        <w:adjustRightInd w:val="0"/>
        <w:rPr>
          <w:color w:val="000000"/>
          <w:sz w:val="22"/>
          <w:szCs w:val="22"/>
        </w:rPr>
      </w:pPr>
      <w:r w:rsidRPr="00F377F7">
        <w:rPr>
          <w:color w:val="000000"/>
          <w:sz w:val="22"/>
          <w:szCs w:val="22"/>
        </w:rPr>
        <w:t>In subsection 5.2.11, the proposed rule states that a “non-monetary</w:t>
      </w:r>
      <w:r w:rsidR="00E476F9" w:rsidRPr="00F377F7">
        <w:rPr>
          <w:color w:val="000000"/>
          <w:sz w:val="22"/>
          <w:szCs w:val="22"/>
        </w:rPr>
        <w:t xml:space="preserve"> </w:t>
      </w:r>
      <w:r w:rsidRPr="00F377F7">
        <w:rPr>
          <w:color w:val="000000"/>
          <w:sz w:val="22"/>
          <w:szCs w:val="22"/>
        </w:rPr>
        <w:t>contribution is to be considered at fair market value for reporting requirements and</w:t>
      </w:r>
      <w:r w:rsidR="00E476F9" w:rsidRPr="00F377F7">
        <w:rPr>
          <w:color w:val="000000"/>
          <w:sz w:val="22"/>
          <w:szCs w:val="22"/>
        </w:rPr>
        <w:t xml:space="preserve"> </w:t>
      </w:r>
      <w:r w:rsidRPr="00F377F7">
        <w:rPr>
          <w:color w:val="000000"/>
          <w:sz w:val="22"/>
          <w:szCs w:val="22"/>
        </w:rPr>
        <w:t xml:space="preserve">contribution limitations.” The </w:t>
      </w:r>
      <w:r w:rsidR="00E476F9" w:rsidRPr="00F377F7">
        <w:rPr>
          <w:color w:val="000000"/>
          <w:sz w:val="22"/>
          <w:szCs w:val="22"/>
        </w:rPr>
        <w:t>t</w:t>
      </w:r>
      <w:r w:rsidRPr="00F377F7">
        <w:rPr>
          <w:color w:val="000000"/>
          <w:sz w:val="22"/>
          <w:szCs w:val="22"/>
        </w:rPr>
        <w:t>erm “fair market val</w:t>
      </w:r>
      <w:r w:rsidR="00E476F9" w:rsidRPr="00F377F7">
        <w:rPr>
          <w:color w:val="000000"/>
          <w:sz w:val="22"/>
          <w:szCs w:val="22"/>
        </w:rPr>
        <w:t xml:space="preserve">ue,” however, </w:t>
      </w:r>
      <w:proofErr w:type="gramStart"/>
      <w:r w:rsidR="00E476F9" w:rsidRPr="00F377F7">
        <w:rPr>
          <w:color w:val="000000"/>
          <w:sz w:val="22"/>
          <w:szCs w:val="22"/>
        </w:rPr>
        <w:t>is not defined</w:t>
      </w:r>
      <w:proofErr w:type="gramEnd"/>
      <w:r w:rsidR="00E476F9" w:rsidRPr="00F377F7">
        <w:rPr>
          <w:color w:val="000000"/>
          <w:sz w:val="22"/>
          <w:szCs w:val="22"/>
        </w:rPr>
        <w:t xml:space="preserve"> in </w:t>
      </w:r>
      <w:r w:rsidRPr="00F377F7">
        <w:rPr>
          <w:color w:val="000000"/>
          <w:sz w:val="22"/>
          <w:szCs w:val="22"/>
        </w:rPr>
        <w:t>the proposed rule or in the Code.</w:t>
      </w:r>
    </w:p>
    <w:p w:rsidR="00E476F9" w:rsidRPr="00F377F7" w:rsidRDefault="00E476F9" w:rsidP="00265186">
      <w:pPr>
        <w:autoSpaceDE w:val="0"/>
        <w:autoSpaceDN w:val="0"/>
        <w:adjustRightInd w:val="0"/>
        <w:rPr>
          <w:color w:val="000000"/>
          <w:sz w:val="22"/>
          <w:szCs w:val="22"/>
        </w:rPr>
      </w:pPr>
    </w:p>
    <w:p w:rsidR="00265186" w:rsidRPr="00F377F7" w:rsidRDefault="00265186" w:rsidP="00265186">
      <w:pPr>
        <w:autoSpaceDE w:val="0"/>
        <w:autoSpaceDN w:val="0"/>
        <w:adjustRightInd w:val="0"/>
        <w:rPr>
          <w:color w:val="000000"/>
          <w:sz w:val="22"/>
          <w:szCs w:val="22"/>
        </w:rPr>
      </w:pPr>
      <w:r w:rsidRPr="00F377F7">
        <w:rPr>
          <w:color w:val="000000"/>
          <w:sz w:val="22"/>
          <w:szCs w:val="22"/>
        </w:rPr>
        <w:t>To provide guidance to candidates and political committees regarding the</w:t>
      </w:r>
      <w:r w:rsidR="00E476F9" w:rsidRPr="00F377F7">
        <w:rPr>
          <w:color w:val="000000"/>
          <w:sz w:val="22"/>
          <w:szCs w:val="22"/>
        </w:rPr>
        <w:t xml:space="preserve"> </w:t>
      </w:r>
      <w:r w:rsidRPr="00F377F7">
        <w:rPr>
          <w:color w:val="000000"/>
          <w:sz w:val="22"/>
          <w:szCs w:val="22"/>
        </w:rPr>
        <w:t>valuation of non-monetary contributions, we recommend adding a definition of “fair</w:t>
      </w:r>
      <w:r w:rsidR="00E476F9" w:rsidRPr="00F377F7">
        <w:rPr>
          <w:color w:val="000000"/>
          <w:sz w:val="22"/>
          <w:szCs w:val="22"/>
        </w:rPr>
        <w:t xml:space="preserve"> </w:t>
      </w:r>
      <w:r w:rsidRPr="00F377F7">
        <w:rPr>
          <w:color w:val="000000"/>
          <w:sz w:val="22"/>
          <w:szCs w:val="22"/>
        </w:rPr>
        <w:t>market value” in the final rule. In its regulations, the FEC has promulgated a</w:t>
      </w:r>
      <w:r w:rsidR="00E476F9" w:rsidRPr="00F377F7">
        <w:rPr>
          <w:color w:val="000000"/>
          <w:sz w:val="22"/>
          <w:szCs w:val="22"/>
        </w:rPr>
        <w:t xml:space="preserve"> </w:t>
      </w:r>
      <w:r w:rsidRPr="00F377F7">
        <w:rPr>
          <w:color w:val="000000"/>
          <w:sz w:val="22"/>
          <w:szCs w:val="22"/>
        </w:rPr>
        <w:t>regulation defining “the usual and normal charge for goods and serv</w:t>
      </w:r>
      <w:r w:rsidR="00E476F9" w:rsidRPr="00F377F7">
        <w:rPr>
          <w:color w:val="000000"/>
          <w:sz w:val="22"/>
          <w:szCs w:val="22"/>
        </w:rPr>
        <w:t xml:space="preserve">ices” for </w:t>
      </w:r>
      <w:r w:rsidRPr="00F377F7">
        <w:rPr>
          <w:color w:val="000000"/>
          <w:sz w:val="22"/>
          <w:szCs w:val="22"/>
        </w:rPr>
        <w:t>purposes of valuing in-kind contributions.</w:t>
      </w:r>
      <w:r w:rsidR="00E476F9" w:rsidRPr="00F377F7">
        <w:rPr>
          <w:rStyle w:val="FootnoteReference"/>
          <w:color w:val="000000"/>
          <w:sz w:val="22"/>
          <w:szCs w:val="22"/>
        </w:rPr>
        <w:footnoteReference w:id="18"/>
      </w:r>
      <w:r w:rsidRPr="00F377F7">
        <w:rPr>
          <w:color w:val="000000"/>
          <w:sz w:val="22"/>
          <w:szCs w:val="22"/>
        </w:rPr>
        <w:t xml:space="preserve"> The FEC’s regulation explains that the</w:t>
      </w:r>
      <w:r w:rsidR="00E476F9" w:rsidRPr="00F377F7">
        <w:rPr>
          <w:color w:val="000000"/>
          <w:sz w:val="22"/>
          <w:szCs w:val="22"/>
        </w:rPr>
        <w:t xml:space="preserve"> </w:t>
      </w:r>
      <w:r w:rsidRPr="00F377F7">
        <w:rPr>
          <w:color w:val="000000"/>
          <w:sz w:val="22"/>
          <w:szCs w:val="22"/>
        </w:rPr>
        <w:t>“usual and normal charge for goods” is “the price of those goods in the market from</w:t>
      </w:r>
      <w:r w:rsidR="00E476F9" w:rsidRPr="00F377F7">
        <w:rPr>
          <w:color w:val="000000"/>
          <w:sz w:val="22"/>
          <w:szCs w:val="22"/>
        </w:rPr>
        <w:t xml:space="preserve"> </w:t>
      </w:r>
      <w:r w:rsidRPr="00F377F7">
        <w:rPr>
          <w:color w:val="000000"/>
          <w:sz w:val="22"/>
          <w:szCs w:val="22"/>
        </w:rPr>
        <w:t>which they ordinarily would have been purchased at the time of the contribution.”</w:t>
      </w:r>
      <w:r w:rsidR="00E476F9" w:rsidRPr="00F377F7">
        <w:rPr>
          <w:rStyle w:val="FootnoteReference"/>
          <w:color w:val="000000"/>
          <w:sz w:val="22"/>
          <w:szCs w:val="22"/>
        </w:rPr>
        <w:footnoteReference w:id="19"/>
      </w:r>
      <w:r w:rsidR="00E476F9" w:rsidRPr="00F377F7">
        <w:rPr>
          <w:color w:val="000000"/>
          <w:sz w:val="22"/>
          <w:szCs w:val="22"/>
        </w:rPr>
        <w:t xml:space="preserve"> </w:t>
      </w:r>
      <w:r w:rsidRPr="00F377F7">
        <w:rPr>
          <w:color w:val="000000"/>
          <w:sz w:val="22"/>
          <w:szCs w:val="22"/>
        </w:rPr>
        <w:t>Relatedly, the “usual and normal charge for any services” is “the hourly or piecework</w:t>
      </w:r>
      <w:r w:rsidR="00E476F9" w:rsidRPr="00F377F7">
        <w:rPr>
          <w:color w:val="000000"/>
          <w:sz w:val="22"/>
          <w:szCs w:val="22"/>
        </w:rPr>
        <w:t xml:space="preserve"> </w:t>
      </w:r>
      <w:r w:rsidRPr="00F377F7">
        <w:rPr>
          <w:color w:val="000000"/>
          <w:sz w:val="22"/>
          <w:szCs w:val="22"/>
        </w:rPr>
        <w:t xml:space="preserve">charge for the services at a commercially reasonable </w:t>
      </w:r>
      <w:r w:rsidR="00E476F9" w:rsidRPr="00F377F7">
        <w:rPr>
          <w:color w:val="000000"/>
          <w:sz w:val="22"/>
          <w:szCs w:val="22"/>
        </w:rPr>
        <w:t xml:space="preserve">rate prevailing at the time the </w:t>
      </w:r>
      <w:r w:rsidRPr="00F377F7">
        <w:rPr>
          <w:color w:val="000000"/>
          <w:sz w:val="22"/>
          <w:szCs w:val="22"/>
        </w:rPr>
        <w:t>services were rendered.”</w:t>
      </w:r>
      <w:r w:rsidR="00E476F9" w:rsidRPr="00F377F7">
        <w:rPr>
          <w:rStyle w:val="FootnoteReference"/>
          <w:color w:val="000000"/>
          <w:sz w:val="22"/>
          <w:szCs w:val="22"/>
        </w:rPr>
        <w:footnoteReference w:id="20"/>
      </w:r>
    </w:p>
    <w:p w:rsidR="00E476F9" w:rsidRPr="00F377F7" w:rsidRDefault="00E476F9" w:rsidP="00265186">
      <w:pPr>
        <w:autoSpaceDE w:val="0"/>
        <w:autoSpaceDN w:val="0"/>
        <w:adjustRightInd w:val="0"/>
        <w:rPr>
          <w:color w:val="000000"/>
          <w:sz w:val="22"/>
          <w:szCs w:val="22"/>
        </w:rPr>
      </w:pPr>
    </w:p>
    <w:p w:rsidR="00265186" w:rsidRPr="00F377F7" w:rsidRDefault="00265186" w:rsidP="00265186">
      <w:pPr>
        <w:autoSpaceDE w:val="0"/>
        <w:autoSpaceDN w:val="0"/>
        <w:adjustRightInd w:val="0"/>
        <w:rPr>
          <w:color w:val="000000"/>
          <w:sz w:val="22"/>
          <w:szCs w:val="22"/>
        </w:rPr>
      </w:pPr>
      <w:r w:rsidRPr="00F377F7">
        <w:rPr>
          <w:color w:val="000000"/>
          <w:sz w:val="22"/>
          <w:szCs w:val="22"/>
        </w:rPr>
        <w:t>The final rule should include a comparable defin</w:t>
      </w:r>
      <w:r w:rsidR="00E476F9" w:rsidRPr="00F377F7">
        <w:rPr>
          <w:color w:val="000000"/>
          <w:sz w:val="22"/>
          <w:szCs w:val="22"/>
        </w:rPr>
        <w:t xml:space="preserve">ition of “fair market value” to </w:t>
      </w:r>
      <w:r w:rsidRPr="00F377F7">
        <w:rPr>
          <w:color w:val="000000"/>
          <w:sz w:val="22"/>
          <w:szCs w:val="22"/>
        </w:rPr>
        <w:t>assist candidates and political committees in determining the worth of nonmonetary</w:t>
      </w:r>
      <w:r w:rsidR="00E476F9" w:rsidRPr="00F377F7">
        <w:rPr>
          <w:color w:val="000000"/>
          <w:sz w:val="22"/>
          <w:szCs w:val="22"/>
        </w:rPr>
        <w:t xml:space="preserve"> </w:t>
      </w:r>
      <w:r w:rsidRPr="00F377F7">
        <w:rPr>
          <w:color w:val="000000"/>
          <w:sz w:val="22"/>
          <w:szCs w:val="22"/>
        </w:rPr>
        <w:t>contributions of both goods and services, and to ensure that these</w:t>
      </w:r>
      <w:r w:rsidR="00E476F9" w:rsidRPr="00F377F7">
        <w:rPr>
          <w:color w:val="000000"/>
          <w:sz w:val="22"/>
          <w:szCs w:val="22"/>
        </w:rPr>
        <w:t xml:space="preserve"> </w:t>
      </w:r>
      <w:r w:rsidRPr="00F377F7">
        <w:rPr>
          <w:color w:val="000000"/>
          <w:sz w:val="22"/>
          <w:szCs w:val="22"/>
        </w:rPr>
        <w:t xml:space="preserve">contributions </w:t>
      </w:r>
      <w:proofErr w:type="gramStart"/>
      <w:r w:rsidRPr="00F377F7">
        <w:rPr>
          <w:color w:val="000000"/>
          <w:sz w:val="22"/>
          <w:szCs w:val="22"/>
        </w:rPr>
        <w:t>are accurately reported and valued</w:t>
      </w:r>
      <w:proofErr w:type="gramEnd"/>
      <w:r w:rsidRPr="00F377F7">
        <w:rPr>
          <w:color w:val="000000"/>
          <w:sz w:val="22"/>
          <w:szCs w:val="22"/>
        </w:rPr>
        <w:t>.</w:t>
      </w:r>
    </w:p>
    <w:p w:rsidR="00E476F9" w:rsidRPr="00F377F7" w:rsidRDefault="00E476F9" w:rsidP="00265186">
      <w:pPr>
        <w:autoSpaceDE w:val="0"/>
        <w:autoSpaceDN w:val="0"/>
        <w:adjustRightInd w:val="0"/>
        <w:rPr>
          <w:color w:val="000000"/>
          <w:sz w:val="22"/>
          <w:szCs w:val="22"/>
        </w:rPr>
      </w:pPr>
    </w:p>
    <w:p w:rsidR="00137DB0" w:rsidRPr="00F377F7" w:rsidRDefault="00137DB0" w:rsidP="00137DB0">
      <w:pPr>
        <w:autoSpaceDE w:val="0"/>
        <w:autoSpaceDN w:val="0"/>
        <w:adjustRightInd w:val="0"/>
        <w:rPr>
          <w:b/>
          <w:color w:val="000000"/>
          <w:sz w:val="22"/>
          <w:szCs w:val="22"/>
        </w:rPr>
      </w:pPr>
      <w:r w:rsidRPr="00F377F7">
        <w:rPr>
          <w:b/>
          <w:color w:val="000000"/>
          <w:sz w:val="22"/>
          <w:szCs w:val="22"/>
        </w:rPr>
        <w:t>RESPONSE:</w:t>
      </w:r>
    </w:p>
    <w:p w:rsidR="00137DB0" w:rsidRPr="00F377F7" w:rsidRDefault="00137DB0" w:rsidP="00137DB0">
      <w:pPr>
        <w:autoSpaceDE w:val="0"/>
        <w:autoSpaceDN w:val="0"/>
        <w:adjustRightInd w:val="0"/>
        <w:rPr>
          <w:color w:val="000000"/>
          <w:sz w:val="22"/>
          <w:szCs w:val="22"/>
        </w:rPr>
      </w:pPr>
    </w:p>
    <w:p w:rsidR="00137DB0" w:rsidRPr="00F377F7" w:rsidRDefault="004908CF" w:rsidP="00265186">
      <w:pPr>
        <w:autoSpaceDE w:val="0"/>
        <w:autoSpaceDN w:val="0"/>
        <w:adjustRightInd w:val="0"/>
        <w:rPr>
          <w:b/>
          <w:color w:val="000000"/>
          <w:sz w:val="22"/>
          <w:szCs w:val="22"/>
        </w:rPr>
      </w:pPr>
      <w:r w:rsidRPr="00F377F7">
        <w:rPr>
          <w:b/>
          <w:color w:val="000000"/>
          <w:sz w:val="22"/>
          <w:szCs w:val="22"/>
        </w:rPr>
        <w:t xml:space="preserve">The Rule </w:t>
      </w:r>
      <w:proofErr w:type="gramStart"/>
      <w:r w:rsidRPr="00F377F7">
        <w:rPr>
          <w:b/>
          <w:color w:val="000000"/>
          <w:sz w:val="22"/>
          <w:szCs w:val="22"/>
        </w:rPr>
        <w:t>will be amended</w:t>
      </w:r>
      <w:proofErr w:type="gramEnd"/>
      <w:r w:rsidRPr="00F377F7">
        <w:rPr>
          <w:b/>
          <w:color w:val="000000"/>
          <w:sz w:val="22"/>
          <w:szCs w:val="22"/>
        </w:rPr>
        <w:t xml:space="preserve"> to include the Federal Election Commission’s guidance on calculation of “fair market value.” </w:t>
      </w:r>
    </w:p>
    <w:p w:rsidR="004908CF" w:rsidRPr="00F377F7" w:rsidRDefault="004908CF" w:rsidP="00265186">
      <w:pPr>
        <w:autoSpaceDE w:val="0"/>
        <w:autoSpaceDN w:val="0"/>
        <w:adjustRightInd w:val="0"/>
        <w:rPr>
          <w:b/>
          <w:color w:val="000000"/>
          <w:sz w:val="22"/>
          <w:szCs w:val="22"/>
        </w:rPr>
      </w:pPr>
    </w:p>
    <w:p w:rsidR="00265186" w:rsidRPr="00F377F7" w:rsidRDefault="00265186" w:rsidP="00265186">
      <w:pPr>
        <w:pStyle w:val="ListParagraph"/>
        <w:numPr>
          <w:ilvl w:val="1"/>
          <w:numId w:val="3"/>
        </w:numPr>
        <w:autoSpaceDE w:val="0"/>
        <w:autoSpaceDN w:val="0"/>
        <w:adjustRightInd w:val="0"/>
        <w:rPr>
          <w:i/>
          <w:iCs/>
          <w:color w:val="000000"/>
          <w:sz w:val="22"/>
          <w:szCs w:val="22"/>
        </w:rPr>
      </w:pPr>
      <w:r w:rsidRPr="00F377F7">
        <w:rPr>
          <w:i/>
          <w:iCs/>
          <w:color w:val="000000"/>
          <w:sz w:val="22"/>
          <w:szCs w:val="22"/>
        </w:rPr>
        <w:t>Subsection 5.3.2. Prohibiting Contributions, Independent Expenditures, &amp;</w:t>
      </w:r>
      <w:r w:rsidR="00E476F9" w:rsidRPr="00F377F7">
        <w:rPr>
          <w:i/>
          <w:iCs/>
          <w:color w:val="000000"/>
          <w:sz w:val="22"/>
          <w:szCs w:val="22"/>
        </w:rPr>
        <w:t xml:space="preserve"> </w:t>
      </w:r>
      <w:r w:rsidRPr="00F377F7">
        <w:rPr>
          <w:i/>
          <w:iCs/>
          <w:color w:val="000000"/>
          <w:sz w:val="22"/>
          <w:szCs w:val="22"/>
        </w:rPr>
        <w:t>Electioneering Communications by Foreign Nationals</w:t>
      </w:r>
    </w:p>
    <w:p w:rsidR="00E476F9" w:rsidRPr="00F377F7" w:rsidRDefault="00E476F9" w:rsidP="00E476F9">
      <w:pPr>
        <w:pStyle w:val="ListParagraph"/>
        <w:autoSpaceDE w:val="0"/>
        <w:autoSpaceDN w:val="0"/>
        <w:adjustRightInd w:val="0"/>
        <w:ind w:left="1440"/>
        <w:rPr>
          <w:i/>
          <w:iCs/>
          <w:color w:val="000000"/>
          <w:sz w:val="22"/>
          <w:szCs w:val="22"/>
        </w:rPr>
      </w:pPr>
    </w:p>
    <w:p w:rsidR="00265186" w:rsidRPr="00F377F7" w:rsidRDefault="00265186" w:rsidP="00265186">
      <w:pPr>
        <w:autoSpaceDE w:val="0"/>
        <w:autoSpaceDN w:val="0"/>
        <w:adjustRightInd w:val="0"/>
        <w:rPr>
          <w:color w:val="000000"/>
          <w:sz w:val="22"/>
          <w:szCs w:val="22"/>
        </w:rPr>
      </w:pPr>
      <w:r w:rsidRPr="00F377F7">
        <w:rPr>
          <w:color w:val="000000"/>
          <w:sz w:val="22"/>
          <w:szCs w:val="22"/>
        </w:rPr>
        <w:t>Subsection 5.3.2 prohibits a “foreign national” from making a contribution or</w:t>
      </w:r>
      <w:r w:rsidR="00E476F9" w:rsidRPr="00F377F7">
        <w:rPr>
          <w:color w:val="000000"/>
          <w:sz w:val="22"/>
          <w:szCs w:val="22"/>
        </w:rPr>
        <w:t xml:space="preserve"> </w:t>
      </w:r>
      <w:r w:rsidRPr="00F377F7">
        <w:rPr>
          <w:color w:val="000000"/>
          <w:sz w:val="22"/>
          <w:szCs w:val="22"/>
        </w:rPr>
        <w:t>donation to a candidate, political committee, or political party, or from making an</w:t>
      </w:r>
      <w:r w:rsidR="00E476F9" w:rsidRPr="00F377F7">
        <w:rPr>
          <w:color w:val="000000"/>
          <w:sz w:val="22"/>
          <w:szCs w:val="22"/>
        </w:rPr>
        <w:t xml:space="preserve"> </w:t>
      </w:r>
      <w:r w:rsidRPr="00F377F7">
        <w:rPr>
          <w:color w:val="000000"/>
          <w:sz w:val="22"/>
          <w:szCs w:val="22"/>
        </w:rPr>
        <w:t>independent expenditure or payment for an electioneering communication in West</w:t>
      </w:r>
      <w:r w:rsidR="00E476F9" w:rsidRPr="00F377F7">
        <w:rPr>
          <w:color w:val="000000"/>
          <w:sz w:val="22"/>
          <w:szCs w:val="22"/>
        </w:rPr>
        <w:t xml:space="preserve"> </w:t>
      </w:r>
      <w:r w:rsidRPr="00F377F7">
        <w:rPr>
          <w:color w:val="000000"/>
          <w:sz w:val="22"/>
          <w:szCs w:val="22"/>
        </w:rPr>
        <w:t>Virginia. This provision of the proposed rule implements the equivalent prohibition</w:t>
      </w:r>
      <w:r w:rsidR="00E476F9" w:rsidRPr="00F377F7">
        <w:rPr>
          <w:color w:val="000000"/>
          <w:sz w:val="22"/>
          <w:szCs w:val="22"/>
        </w:rPr>
        <w:t xml:space="preserve"> </w:t>
      </w:r>
      <w:r w:rsidRPr="00F377F7">
        <w:rPr>
          <w:color w:val="000000"/>
          <w:sz w:val="22"/>
          <w:szCs w:val="22"/>
        </w:rPr>
        <w:t>on foreign nationals’ contributions and campaign-related spending within the Code,</w:t>
      </w:r>
      <w:r w:rsidR="00E476F9" w:rsidRPr="00F377F7">
        <w:rPr>
          <w:color w:val="000000"/>
          <w:sz w:val="22"/>
          <w:szCs w:val="22"/>
        </w:rPr>
        <w:t xml:space="preserve"> </w:t>
      </w:r>
      <w:r w:rsidRPr="00F377F7">
        <w:rPr>
          <w:color w:val="000000"/>
          <w:sz w:val="22"/>
          <w:szCs w:val="22"/>
        </w:rPr>
        <w:t>as amended by S.B. 622.</w:t>
      </w:r>
      <w:r w:rsidR="00E476F9" w:rsidRPr="00F377F7">
        <w:rPr>
          <w:rStyle w:val="FootnoteReference"/>
          <w:color w:val="000000"/>
          <w:sz w:val="22"/>
          <w:szCs w:val="22"/>
        </w:rPr>
        <w:footnoteReference w:id="21"/>
      </w:r>
    </w:p>
    <w:p w:rsidR="00E476F9" w:rsidRPr="00F377F7" w:rsidRDefault="00E476F9" w:rsidP="00265186">
      <w:pPr>
        <w:autoSpaceDE w:val="0"/>
        <w:autoSpaceDN w:val="0"/>
        <w:adjustRightInd w:val="0"/>
        <w:rPr>
          <w:color w:val="000000"/>
          <w:sz w:val="22"/>
          <w:szCs w:val="22"/>
        </w:rPr>
      </w:pPr>
    </w:p>
    <w:p w:rsidR="00265186" w:rsidRPr="00F377F7" w:rsidRDefault="00265186" w:rsidP="00265186">
      <w:pPr>
        <w:autoSpaceDE w:val="0"/>
        <w:autoSpaceDN w:val="0"/>
        <w:adjustRightInd w:val="0"/>
        <w:rPr>
          <w:color w:val="000000"/>
          <w:sz w:val="22"/>
          <w:szCs w:val="22"/>
        </w:rPr>
      </w:pPr>
      <w:r w:rsidRPr="00F377F7">
        <w:rPr>
          <w:color w:val="000000"/>
          <w:sz w:val="22"/>
          <w:szCs w:val="22"/>
        </w:rPr>
        <w:t>The prohibitions in the proposed rule and in</w:t>
      </w:r>
      <w:r w:rsidR="00E476F9" w:rsidRPr="00F377F7">
        <w:rPr>
          <w:color w:val="000000"/>
          <w:sz w:val="22"/>
          <w:szCs w:val="22"/>
        </w:rPr>
        <w:t xml:space="preserve"> the Code are </w:t>
      </w:r>
      <w:proofErr w:type="gramStart"/>
      <w:r w:rsidR="00E476F9" w:rsidRPr="00F377F7">
        <w:rPr>
          <w:color w:val="000000"/>
          <w:sz w:val="22"/>
          <w:szCs w:val="22"/>
        </w:rPr>
        <w:t>fairly broad</w:t>
      </w:r>
      <w:proofErr w:type="gramEnd"/>
      <w:r w:rsidR="00E476F9" w:rsidRPr="00F377F7">
        <w:rPr>
          <w:color w:val="000000"/>
          <w:sz w:val="22"/>
          <w:szCs w:val="22"/>
        </w:rPr>
        <w:t xml:space="preserve">, but </w:t>
      </w:r>
      <w:r w:rsidRPr="00F377F7">
        <w:rPr>
          <w:color w:val="000000"/>
          <w:sz w:val="22"/>
          <w:szCs w:val="22"/>
        </w:rPr>
        <w:t>they do not foreclose all potential avenues through which foreign nationals could</w:t>
      </w:r>
      <w:r w:rsidR="00E476F9" w:rsidRPr="00F377F7">
        <w:rPr>
          <w:color w:val="000000"/>
          <w:sz w:val="22"/>
          <w:szCs w:val="22"/>
        </w:rPr>
        <w:t xml:space="preserve"> </w:t>
      </w:r>
      <w:r w:rsidRPr="00F377F7">
        <w:rPr>
          <w:color w:val="000000"/>
          <w:sz w:val="22"/>
          <w:szCs w:val="22"/>
        </w:rPr>
        <w:t>“indirectly” expend funds to influence West Virginia elections.</w:t>
      </w:r>
      <w:r w:rsidR="00E476F9" w:rsidRPr="00F377F7">
        <w:rPr>
          <w:rStyle w:val="FootnoteReference"/>
          <w:color w:val="000000"/>
          <w:sz w:val="22"/>
          <w:szCs w:val="22"/>
        </w:rPr>
        <w:footnoteReference w:id="22"/>
      </w:r>
      <w:r w:rsidRPr="00F377F7">
        <w:rPr>
          <w:color w:val="000000"/>
          <w:sz w:val="22"/>
          <w:szCs w:val="22"/>
        </w:rPr>
        <w:t xml:space="preserve"> To help guarantee</w:t>
      </w:r>
      <w:r w:rsidR="00E476F9" w:rsidRPr="00F377F7">
        <w:rPr>
          <w:color w:val="000000"/>
          <w:sz w:val="22"/>
          <w:szCs w:val="22"/>
        </w:rPr>
        <w:t xml:space="preserve"> </w:t>
      </w:r>
      <w:r w:rsidRPr="00F377F7">
        <w:rPr>
          <w:color w:val="000000"/>
          <w:sz w:val="22"/>
          <w:szCs w:val="22"/>
        </w:rPr>
        <w:t>that West Virginia’s bar on foreign nationals’ contributions and election-related</w:t>
      </w:r>
      <w:r w:rsidR="00E476F9" w:rsidRPr="00F377F7">
        <w:rPr>
          <w:color w:val="000000"/>
          <w:sz w:val="22"/>
          <w:szCs w:val="22"/>
        </w:rPr>
        <w:t xml:space="preserve"> </w:t>
      </w:r>
      <w:r w:rsidRPr="00F377F7">
        <w:rPr>
          <w:color w:val="000000"/>
          <w:sz w:val="22"/>
          <w:szCs w:val="22"/>
        </w:rPr>
        <w:t>spending is effective, we recommend expanding the prohibition in the rule to help</w:t>
      </w:r>
      <w:r w:rsidR="00E476F9" w:rsidRPr="00F377F7">
        <w:rPr>
          <w:color w:val="000000"/>
          <w:sz w:val="22"/>
          <w:szCs w:val="22"/>
        </w:rPr>
        <w:t xml:space="preserve"> </w:t>
      </w:r>
      <w:r w:rsidRPr="00F377F7">
        <w:rPr>
          <w:color w:val="000000"/>
          <w:sz w:val="22"/>
          <w:szCs w:val="22"/>
        </w:rPr>
        <w:t>close all channels for foreign national to spend money in connection with state and</w:t>
      </w:r>
      <w:r w:rsidR="00E476F9" w:rsidRPr="00F377F7">
        <w:rPr>
          <w:color w:val="000000"/>
          <w:sz w:val="22"/>
          <w:szCs w:val="22"/>
        </w:rPr>
        <w:t xml:space="preserve"> </w:t>
      </w:r>
      <w:r w:rsidRPr="00F377F7">
        <w:rPr>
          <w:color w:val="000000"/>
          <w:sz w:val="22"/>
          <w:szCs w:val="22"/>
        </w:rPr>
        <w:t>local elections.</w:t>
      </w:r>
    </w:p>
    <w:p w:rsidR="00E476F9" w:rsidRPr="00F377F7" w:rsidRDefault="00E476F9" w:rsidP="00265186">
      <w:pPr>
        <w:autoSpaceDE w:val="0"/>
        <w:autoSpaceDN w:val="0"/>
        <w:adjustRightInd w:val="0"/>
        <w:rPr>
          <w:color w:val="000000"/>
          <w:sz w:val="22"/>
          <w:szCs w:val="22"/>
        </w:rPr>
      </w:pPr>
    </w:p>
    <w:p w:rsidR="00265186" w:rsidRPr="00F377F7" w:rsidRDefault="00265186" w:rsidP="00265186">
      <w:pPr>
        <w:autoSpaceDE w:val="0"/>
        <w:autoSpaceDN w:val="0"/>
        <w:adjustRightInd w:val="0"/>
        <w:rPr>
          <w:color w:val="000000"/>
          <w:sz w:val="22"/>
          <w:szCs w:val="22"/>
        </w:rPr>
      </w:pPr>
      <w:r w:rsidRPr="00F377F7">
        <w:rPr>
          <w:color w:val="000000"/>
          <w:sz w:val="22"/>
          <w:szCs w:val="22"/>
        </w:rPr>
        <w:t>Like West Virginia’s Code, federal election law prohibits foreign nationals</w:t>
      </w:r>
      <w:r w:rsidR="00E476F9" w:rsidRPr="00F377F7">
        <w:rPr>
          <w:color w:val="000000"/>
          <w:sz w:val="22"/>
          <w:szCs w:val="22"/>
        </w:rPr>
        <w:t xml:space="preserve"> </w:t>
      </w:r>
      <w:r w:rsidRPr="00F377F7">
        <w:rPr>
          <w:color w:val="000000"/>
          <w:sz w:val="22"/>
          <w:szCs w:val="22"/>
        </w:rPr>
        <w:t>from making election-related contributions or expenditures.</w:t>
      </w:r>
      <w:r w:rsidR="00E476F9" w:rsidRPr="00F377F7">
        <w:rPr>
          <w:rStyle w:val="FootnoteReference"/>
          <w:color w:val="000000"/>
          <w:sz w:val="22"/>
          <w:szCs w:val="22"/>
        </w:rPr>
        <w:footnoteReference w:id="23"/>
      </w:r>
      <w:r w:rsidRPr="00F377F7">
        <w:rPr>
          <w:color w:val="000000"/>
          <w:sz w:val="22"/>
          <w:szCs w:val="22"/>
        </w:rPr>
        <w:t xml:space="preserve"> The federal ban,</w:t>
      </w:r>
      <w:r w:rsidR="00E476F9" w:rsidRPr="00F377F7">
        <w:rPr>
          <w:color w:val="000000"/>
          <w:sz w:val="22"/>
          <w:szCs w:val="22"/>
        </w:rPr>
        <w:t xml:space="preserve"> </w:t>
      </w:r>
      <w:r w:rsidRPr="00F377F7">
        <w:rPr>
          <w:color w:val="000000"/>
          <w:sz w:val="22"/>
          <w:szCs w:val="22"/>
        </w:rPr>
        <w:t>though, includes a catchall provision that prohibits a foreign national, “directly or</w:t>
      </w:r>
      <w:r w:rsidR="00E476F9" w:rsidRPr="00F377F7">
        <w:rPr>
          <w:color w:val="000000"/>
          <w:sz w:val="22"/>
          <w:szCs w:val="22"/>
        </w:rPr>
        <w:t xml:space="preserve"> </w:t>
      </w:r>
      <w:r w:rsidRPr="00F377F7">
        <w:rPr>
          <w:color w:val="000000"/>
          <w:sz w:val="22"/>
          <w:szCs w:val="22"/>
        </w:rPr>
        <w:t>indirectly,” from making a contribution or donation “</w:t>
      </w:r>
      <w:r w:rsidRPr="00F377F7">
        <w:rPr>
          <w:i/>
          <w:iCs/>
          <w:color w:val="000000"/>
          <w:sz w:val="22"/>
          <w:szCs w:val="22"/>
        </w:rPr>
        <w:t xml:space="preserve">in connection with </w:t>
      </w:r>
      <w:r w:rsidRPr="00F377F7">
        <w:rPr>
          <w:color w:val="000000"/>
          <w:sz w:val="22"/>
          <w:szCs w:val="22"/>
        </w:rPr>
        <w:t>a Federal,</w:t>
      </w:r>
      <w:r w:rsidR="00E476F9" w:rsidRPr="00F377F7">
        <w:rPr>
          <w:color w:val="000000"/>
          <w:sz w:val="22"/>
          <w:szCs w:val="22"/>
        </w:rPr>
        <w:t xml:space="preserve"> </w:t>
      </w:r>
      <w:r w:rsidRPr="00F377F7">
        <w:rPr>
          <w:color w:val="000000"/>
          <w:sz w:val="22"/>
          <w:szCs w:val="22"/>
        </w:rPr>
        <w:t>State, or local election.”</w:t>
      </w:r>
      <w:r w:rsidR="00E476F9" w:rsidRPr="00F377F7">
        <w:rPr>
          <w:rStyle w:val="FootnoteReference"/>
          <w:color w:val="000000"/>
          <w:sz w:val="22"/>
          <w:szCs w:val="22"/>
        </w:rPr>
        <w:footnoteReference w:id="24"/>
      </w:r>
      <w:r w:rsidRPr="00F377F7">
        <w:rPr>
          <w:color w:val="000000"/>
          <w:sz w:val="22"/>
          <w:szCs w:val="22"/>
        </w:rPr>
        <w:t xml:space="preserve"> Importantly, the federal prohibition on foreign nationals’</w:t>
      </w:r>
      <w:r w:rsidR="00E476F9" w:rsidRPr="00F377F7">
        <w:rPr>
          <w:color w:val="000000"/>
          <w:sz w:val="22"/>
          <w:szCs w:val="22"/>
        </w:rPr>
        <w:t xml:space="preserve"> </w:t>
      </w:r>
      <w:r w:rsidRPr="00F377F7">
        <w:rPr>
          <w:color w:val="000000"/>
          <w:sz w:val="22"/>
          <w:szCs w:val="22"/>
        </w:rPr>
        <w:t>contributions and donations is not explicitly limited to contributions or donations</w:t>
      </w:r>
      <w:r w:rsidR="00E476F9" w:rsidRPr="00F377F7">
        <w:rPr>
          <w:color w:val="000000"/>
          <w:sz w:val="22"/>
          <w:szCs w:val="22"/>
        </w:rPr>
        <w:t xml:space="preserve"> </w:t>
      </w:r>
      <w:r w:rsidRPr="00F377F7">
        <w:rPr>
          <w:color w:val="000000"/>
          <w:sz w:val="22"/>
          <w:szCs w:val="22"/>
        </w:rPr>
        <w:t>given to candidates, political parties, or PACs, and extends to foreign nationals’</w:t>
      </w:r>
      <w:r w:rsidR="00E476F9" w:rsidRPr="00F377F7">
        <w:rPr>
          <w:color w:val="000000"/>
          <w:sz w:val="22"/>
          <w:szCs w:val="22"/>
        </w:rPr>
        <w:t xml:space="preserve"> </w:t>
      </w:r>
      <w:r w:rsidRPr="00F377F7">
        <w:rPr>
          <w:color w:val="000000"/>
          <w:sz w:val="22"/>
          <w:szCs w:val="22"/>
        </w:rPr>
        <w:t>providing funds to a non-committee entity, such as</w:t>
      </w:r>
      <w:r w:rsidR="00E476F9" w:rsidRPr="00F377F7">
        <w:rPr>
          <w:color w:val="000000"/>
          <w:sz w:val="22"/>
          <w:szCs w:val="22"/>
        </w:rPr>
        <w:t xml:space="preserve"> a 501(c)(4) organization, that </w:t>
      </w:r>
      <w:r w:rsidRPr="00F377F7">
        <w:rPr>
          <w:color w:val="000000"/>
          <w:sz w:val="22"/>
          <w:szCs w:val="22"/>
        </w:rPr>
        <w:t>might make independent expenditures or electioneering communications using the</w:t>
      </w:r>
    </w:p>
    <w:p w:rsidR="000A2458" w:rsidRPr="00F377F7" w:rsidRDefault="00265186" w:rsidP="00265186">
      <w:pPr>
        <w:autoSpaceDE w:val="0"/>
        <w:autoSpaceDN w:val="0"/>
        <w:adjustRightInd w:val="0"/>
        <w:rPr>
          <w:color w:val="000000"/>
          <w:sz w:val="22"/>
          <w:szCs w:val="22"/>
        </w:rPr>
      </w:pPr>
      <w:proofErr w:type="gramStart"/>
      <w:r w:rsidRPr="00F377F7">
        <w:rPr>
          <w:color w:val="000000"/>
          <w:sz w:val="22"/>
          <w:szCs w:val="22"/>
        </w:rPr>
        <w:t>foreign</w:t>
      </w:r>
      <w:proofErr w:type="gramEnd"/>
      <w:r w:rsidRPr="00F377F7">
        <w:rPr>
          <w:color w:val="000000"/>
          <w:sz w:val="22"/>
          <w:szCs w:val="22"/>
        </w:rPr>
        <w:t xml:space="preserve"> nationals’ funds.</w:t>
      </w:r>
      <w:r w:rsidR="00E476F9" w:rsidRPr="00F377F7">
        <w:rPr>
          <w:color w:val="000000"/>
          <w:sz w:val="22"/>
          <w:szCs w:val="22"/>
        </w:rPr>
        <w:t xml:space="preserve"> </w:t>
      </w:r>
    </w:p>
    <w:p w:rsidR="000A2458" w:rsidRPr="00F377F7" w:rsidRDefault="000A2458" w:rsidP="00265186">
      <w:pPr>
        <w:autoSpaceDE w:val="0"/>
        <w:autoSpaceDN w:val="0"/>
        <w:adjustRightInd w:val="0"/>
        <w:rPr>
          <w:color w:val="000000"/>
          <w:sz w:val="22"/>
          <w:szCs w:val="22"/>
        </w:rPr>
      </w:pPr>
    </w:p>
    <w:p w:rsidR="00265186" w:rsidRPr="00F377F7" w:rsidRDefault="00265186" w:rsidP="00265186">
      <w:pPr>
        <w:autoSpaceDE w:val="0"/>
        <w:autoSpaceDN w:val="0"/>
        <w:adjustRightInd w:val="0"/>
        <w:rPr>
          <w:color w:val="000000"/>
          <w:sz w:val="22"/>
          <w:szCs w:val="22"/>
        </w:rPr>
      </w:pPr>
      <w:r w:rsidRPr="00F377F7">
        <w:rPr>
          <w:color w:val="000000"/>
          <w:sz w:val="22"/>
          <w:szCs w:val="22"/>
        </w:rPr>
        <w:t>We recommend adding a similar catchall in the final rule to protect a</w:t>
      </w:r>
      <w:r w:rsidR="000A2458" w:rsidRPr="00F377F7">
        <w:rPr>
          <w:color w:val="000000"/>
          <w:sz w:val="22"/>
          <w:szCs w:val="22"/>
        </w:rPr>
        <w:t xml:space="preserve">gainst </w:t>
      </w:r>
      <w:r w:rsidRPr="00F377F7">
        <w:rPr>
          <w:color w:val="000000"/>
          <w:sz w:val="22"/>
          <w:szCs w:val="22"/>
        </w:rPr>
        <w:t>foreign nationals providing donations to non-committee organizations for purposes of</w:t>
      </w:r>
      <w:r w:rsidR="000A2458" w:rsidRPr="00F377F7">
        <w:rPr>
          <w:color w:val="000000"/>
          <w:sz w:val="22"/>
          <w:szCs w:val="22"/>
        </w:rPr>
        <w:t xml:space="preserve"> </w:t>
      </w:r>
      <w:r w:rsidRPr="00F377F7">
        <w:rPr>
          <w:color w:val="000000"/>
          <w:sz w:val="22"/>
          <w:szCs w:val="22"/>
        </w:rPr>
        <w:t>influencing West Virginia elections. That addition will help to prevent foreign</w:t>
      </w:r>
      <w:r w:rsidR="000A2458" w:rsidRPr="00F377F7">
        <w:rPr>
          <w:color w:val="000000"/>
          <w:sz w:val="22"/>
          <w:szCs w:val="22"/>
        </w:rPr>
        <w:t xml:space="preserve"> </w:t>
      </w:r>
      <w:r w:rsidRPr="00F377F7">
        <w:rPr>
          <w:color w:val="000000"/>
          <w:sz w:val="22"/>
          <w:szCs w:val="22"/>
        </w:rPr>
        <w:t>nationals from eluding the Code’s prohibition, and to protect West Virginia’s</w:t>
      </w:r>
      <w:r w:rsidR="000A2458" w:rsidRPr="00F377F7">
        <w:rPr>
          <w:color w:val="000000"/>
          <w:sz w:val="22"/>
          <w:szCs w:val="22"/>
        </w:rPr>
        <w:t xml:space="preserve"> </w:t>
      </w:r>
      <w:r w:rsidRPr="00F377F7">
        <w:rPr>
          <w:color w:val="000000"/>
          <w:sz w:val="22"/>
          <w:szCs w:val="22"/>
        </w:rPr>
        <w:t>elections from illicit foreign interference.</w:t>
      </w:r>
    </w:p>
    <w:p w:rsidR="000A2458" w:rsidRPr="00F377F7" w:rsidRDefault="000A2458" w:rsidP="00265186">
      <w:pPr>
        <w:autoSpaceDE w:val="0"/>
        <w:autoSpaceDN w:val="0"/>
        <w:adjustRightInd w:val="0"/>
        <w:rPr>
          <w:color w:val="000000"/>
          <w:sz w:val="22"/>
          <w:szCs w:val="22"/>
        </w:rPr>
      </w:pPr>
    </w:p>
    <w:p w:rsidR="00137DB0" w:rsidRPr="00F377F7" w:rsidRDefault="00137DB0" w:rsidP="00137DB0">
      <w:pPr>
        <w:autoSpaceDE w:val="0"/>
        <w:autoSpaceDN w:val="0"/>
        <w:adjustRightInd w:val="0"/>
        <w:rPr>
          <w:b/>
          <w:color w:val="000000"/>
          <w:sz w:val="22"/>
          <w:szCs w:val="22"/>
        </w:rPr>
      </w:pPr>
      <w:r w:rsidRPr="00F377F7">
        <w:rPr>
          <w:b/>
          <w:color w:val="000000"/>
          <w:sz w:val="22"/>
          <w:szCs w:val="22"/>
        </w:rPr>
        <w:t>RESPONSE:</w:t>
      </w:r>
    </w:p>
    <w:p w:rsidR="00137DB0" w:rsidRPr="00F377F7" w:rsidRDefault="00137DB0" w:rsidP="00137DB0">
      <w:pPr>
        <w:autoSpaceDE w:val="0"/>
        <w:autoSpaceDN w:val="0"/>
        <w:adjustRightInd w:val="0"/>
        <w:rPr>
          <w:color w:val="000000"/>
          <w:sz w:val="22"/>
          <w:szCs w:val="22"/>
        </w:rPr>
      </w:pPr>
    </w:p>
    <w:p w:rsidR="004908CF" w:rsidRPr="00F377F7" w:rsidRDefault="004908CF" w:rsidP="004908CF">
      <w:pPr>
        <w:autoSpaceDE w:val="0"/>
        <w:autoSpaceDN w:val="0"/>
        <w:adjustRightInd w:val="0"/>
        <w:rPr>
          <w:b/>
          <w:color w:val="000000"/>
          <w:sz w:val="22"/>
          <w:szCs w:val="22"/>
        </w:rPr>
      </w:pPr>
      <w:r w:rsidRPr="00F377F7">
        <w:rPr>
          <w:b/>
          <w:color w:val="000000"/>
          <w:sz w:val="22"/>
          <w:szCs w:val="22"/>
        </w:rPr>
        <w:t xml:space="preserve">The Rule </w:t>
      </w:r>
      <w:proofErr w:type="gramStart"/>
      <w:r w:rsidRPr="00F377F7">
        <w:rPr>
          <w:b/>
          <w:color w:val="000000"/>
          <w:sz w:val="22"/>
          <w:szCs w:val="22"/>
        </w:rPr>
        <w:t>will be amended</w:t>
      </w:r>
      <w:proofErr w:type="gramEnd"/>
      <w:r w:rsidRPr="00F377F7">
        <w:rPr>
          <w:b/>
          <w:color w:val="000000"/>
          <w:sz w:val="22"/>
          <w:szCs w:val="22"/>
        </w:rPr>
        <w:t xml:space="preserve"> to include the Federal Election Commission’s guidance on defining “foreign nationals” in the prohibited campaign finance contribution context.</w:t>
      </w:r>
    </w:p>
    <w:p w:rsidR="004908CF" w:rsidRPr="00F377F7" w:rsidRDefault="004908CF" w:rsidP="00137DB0">
      <w:pPr>
        <w:autoSpaceDE w:val="0"/>
        <w:autoSpaceDN w:val="0"/>
        <w:adjustRightInd w:val="0"/>
        <w:rPr>
          <w:color w:val="000000"/>
          <w:sz w:val="22"/>
          <w:szCs w:val="22"/>
        </w:rPr>
      </w:pPr>
    </w:p>
    <w:p w:rsidR="00137DB0" w:rsidRPr="00F377F7" w:rsidRDefault="00137DB0" w:rsidP="00265186">
      <w:pPr>
        <w:autoSpaceDE w:val="0"/>
        <w:autoSpaceDN w:val="0"/>
        <w:adjustRightInd w:val="0"/>
        <w:rPr>
          <w:color w:val="000000"/>
          <w:sz w:val="22"/>
          <w:szCs w:val="22"/>
        </w:rPr>
      </w:pPr>
    </w:p>
    <w:p w:rsidR="00265186" w:rsidRPr="00F377F7" w:rsidRDefault="00265186" w:rsidP="000A2458">
      <w:pPr>
        <w:pStyle w:val="ListParagraph"/>
        <w:numPr>
          <w:ilvl w:val="0"/>
          <w:numId w:val="3"/>
        </w:numPr>
        <w:autoSpaceDE w:val="0"/>
        <w:autoSpaceDN w:val="0"/>
        <w:adjustRightInd w:val="0"/>
        <w:rPr>
          <w:b/>
          <w:bCs/>
          <w:color w:val="000000"/>
          <w:sz w:val="22"/>
          <w:szCs w:val="22"/>
        </w:rPr>
      </w:pPr>
      <w:r w:rsidRPr="00F377F7">
        <w:rPr>
          <w:b/>
          <w:bCs/>
          <w:color w:val="000000"/>
          <w:sz w:val="22"/>
          <w:szCs w:val="22"/>
        </w:rPr>
        <w:t>§ 146-3-6. “Lawful Expenditures”</w:t>
      </w:r>
    </w:p>
    <w:p w:rsidR="000A2458" w:rsidRPr="00F377F7" w:rsidRDefault="000A2458" w:rsidP="000A2458">
      <w:pPr>
        <w:pStyle w:val="ListParagraph"/>
        <w:autoSpaceDE w:val="0"/>
        <w:autoSpaceDN w:val="0"/>
        <w:adjustRightInd w:val="0"/>
        <w:rPr>
          <w:b/>
          <w:bCs/>
          <w:color w:val="000000"/>
          <w:sz w:val="22"/>
          <w:szCs w:val="22"/>
        </w:rPr>
      </w:pPr>
    </w:p>
    <w:p w:rsidR="00265186" w:rsidRPr="00F377F7" w:rsidRDefault="00265186" w:rsidP="000A2458">
      <w:pPr>
        <w:autoSpaceDE w:val="0"/>
        <w:autoSpaceDN w:val="0"/>
        <w:adjustRightInd w:val="0"/>
        <w:ind w:firstLine="720"/>
        <w:rPr>
          <w:i/>
          <w:iCs/>
          <w:color w:val="000000"/>
          <w:sz w:val="22"/>
          <w:szCs w:val="22"/>
        </w:rPr>
      </w:pPr>
      <w:r w:rsidRPr="00F377F7">
        <w:rPr>
          <w:i/>
          <w:iCs/>
          <w:color w:val="000000"/>
          <w:sz w:val="22"/>
          <w:szCs w:val="22"/>
        </w:rPr>
        <w:t>Subsection 6.5. Meaning of “Personal Use” of Campaign Funds</w:t>
      </w:r>
    </w:p>
    <w:p w:rsidR="000A2458" w:rsidRPr="00F377F7" w:rsidRDefault="000A2458" w:rsidP="000A2458">
      <w:pPr>
        <w:autoSpaceDE w:val="0"/>
        <w:autoSpaceDN w:val="0"/>
        <w:adjustRightInd w:val="0"/>
        <w:ind w:firstLine="720"/>
        <w:rPr>
          <w:i/>
          <w:iCs/>
          <w:color w:val="000000"/>
          <w:sz w:val="22"/>
          <w:szCs w:val="22"/>
        </w:rPr>
      </w:pPr>
    </w:p>
    <w:p w:rsidR="00265186" w:rsidRPr="00F377F7" w:rsidRDefault="00265186" w:rsidP="00265186">
      <w:pPr>
        <w:autoSpaceDE w:val="0"/>
        <w:autoSpaceDN w:val="0"/>
        <w:adjustRightInd w:val="0"/>
        <w:rPr>
          <w:color w:val="000000"/>
          <w:sz w:val="22"/>
          <w:szCs w:val="22"/>
        </w:rPr>
      </w:pPr>
      <w:r w:rsidRPr="00F377F7">
        <w:rPr>
          <w:color w:val="000000"/>
          <w:sz w:val="22"/>
          <w:szCs w:val="22"/>
        </w:rPr>
        <w:t>The proposed rule provides that a candidate may not “receive any payment of</w:t>
      </w:r>
      <w:r w:rsidR="000A2458" w:rsidRPr="00F377F7">
        <w:rPr>
          <w:color w:val="000000"/>
          <w:sz w:val="22"/>
          <w:szCs w:val="22"/>
        </w:rPr>
        <w:t xml:space="preserve"> </w:t>
      </w:r>
      <w:r w:rsidRPr="00F377F7">
        <w:rPr>
          <w:color w:val="000000"/>
          <w:sz w:val="22"/>
          <w:szCs w:val="22"/>
        </w:rPr>
        <w:t>money or other thing of value for personal use from funds solicited or received for</w:t>
      </w:r>
      <w:r w:rsidR="000A2458" w:rsidRPr="00F377F7">
        <w:rPr>
          <w:color w:val="000000"/>
          <w:sz w:val="22"/>
          <w:szCs w:val="22"/>
        </w:rPr>
        <w:t xml:space="preserve"> </w:t>
      </w:r>
      <w:r w:rsidRPr="00F377F7">
        <w:rPr>
          <w:color w:val="000000"/>
          <w:sz w:val="22"/>
          <w:szCs w:val="22"/>
        </w:rPr>
        <w:t>political purposes on his or her behalf, except as reimbursement” as permitted by the</w:t>
      </w:r>
      <w:r w:rsidR="000A2458" w:rsidRPr="00F377F7">
        <w:rPr>
          <w:color w:val="000000"/>
          <w:sz w:val="22"/>
          <w:szCs w:val="22"/>
        </w:rPr>
        <w:t xml:space="preserve"> </w:t>
      </w:r>
      <w:r w:rsidRPr="00F377F7">
        <w:rPr>
          <w:color w:val="000000"/>
          <w:sz w:val="22"/>
          <w:szCs w:val="22"/>
        </w:rPr>
        <w:t>rule.</w:t>
      </w:r>
      <w:r w:rsidR="000A2458" w:rsidRPr="00F377F7">
        <w:rPr>
          <w:rStyle w:val="FootnoteReference"/>
          <w:color w:val="000000"/>
          <w:sz w:val="22"/>
          <w:szCs w:val="22"/>
        </w:rPr>
        <w:footnoteReference w:id="25"/>
      </w:r>
      <w:r w:rsidRPr="00F377F7">
        <w:rPr>
          <w:color w:val="000000"/>
          <w:sz w:val="22"/>
          <w:szCs w:val="22"/>
        </w:rPr>
        <w:t xml:space="preserve"> “Personal use” is not defined in the proposed rule, and the </w:t>
      </w:r>
      <w:proofErr w:type="gramStart"/>
      <w:r w:rsidRPr="00F377F7">
        <w:rPr>
          <w:color w:val="000000"/>
          <w:sz w:val="22"/>
          <w:szCs w:val="22"/>
        </w:rPr>
        <w:t>Code also</w:t>
      </w:r>
      <w:proofErr w:type="gramEnd"/>
      <w:r w:rsidRPr="00F377F7">
        <w:rPr>
          <w:color w:val="000000"/>
          <w:sz w:val="22"/>
          <w:szCs w:val="22"/>
        </w:rPr>
        <w:t xml:space="preserve"> does not</w:t>
      </w:r>
      <w:r w:rsidR="000A2458" w:rsidRPr="00F377F7">
        <w:rPr>
          <w:color w:val="000000"/>
          <w:sz w:val="22"/>
          <w:szCs w:val="22"/>
        </w:rPr>
        <w:t xml:space="preserve"> </w:t>
      </w:r>
      <w:r w:rsidRPr="00F377F7">
        <w:rPr>
          <w:color w:val="000000"/>
          <w:sz w:val="22"/>
          <w:szCs w:val="22"/>
        </w:rPr>
        <w:t>describe what constitutes “personal use” of campaign funds.</w:t>
      </w:r>
      <w:r w:rsidR="000A2458" w:rsidRPr="00F377F7">
        <w:rPr>
          <w:rStyle w:val="FootnoteReference"/>
          <w:color w:val="000000"/>
          <w:sz w:val="22"/>
          <w:szCs w:val="22"/>
        </w:rPr>
        <w:footnoteReference w:id="26"/>
      </w:r>
    </w:p>
    <w:p w:rsidR="000A2458" w:rsidRPr="00F377F7" w:rsidRDefault="000A2458" w:rsidP="00265186">
      <w:pPr>
        <w:autoSpaceDE w:val="0"/>
        <w:autoSpaceDN w:val="0"/>
        <w:adjustRightInd w:val="0"/>
        <w:rPr>
          <w:color w:val="000000"/>
          <w:sz w:val="22"/>
          <w:szCs w:val="22"/>
        </w:rPr>
      </w:pPr>
    </w:p>
    <w:p w:rsidR="00265186" w:rsidRPr="00F377F7" w:rsidRDefault="00265186" w:rsidP="00265186">
      <w:pPr>
        <w:autoSpaceDE w:val="0"/>
        <w:autoSpaceDN w:val="0"/>
        <w:adjustRightInd w:val="0"/>
        <w:rPr>
          <w:color w:val="000000"/>
          <w:sz w:val="22"/>
          <w:szCs w:val="22"/>
        </w:rPr>
      </w:pPr>
      <w:r w:rsidRPr="00F377F7">
        <w:rPr>
          <w:color w:val="000000"/>
          <w:sz w:val="22"/>
          <w:szCs w:val="22"/>
        </w:rPr>
        <w:t>We recommend defining “personal use” in the final rule to delineate the types</w:t>
      </w:r>
      <w:r w:rsidR="000A2458" w:rsidRPr="00F377F7">
        <w:rPr>
          <w:color w:val="000000"/>
          <w:sz w:val="22"/>
          <w:szCs w:val="22"/>
        </w:rPr>
        <w:t xml:space="preserve"> </w:t>
      </w:r>
      <w:r w:rsidRPr="00F377F7">
        <w:rPr>
          <w:color w:val="000000"/>
          <w:sz w:val="22"/>
          <w:szCs w:val="22"/>
        </w:rPr>
        <w:t xml:space="preserve">of expenses that candidates may </w:t>
      </w:r>
      <w:r w:rsidRPr="00F377F7">
        <w:rPr>
          <w:i/>
          <w:iCs/>
          <w:color w:val="000000"/>
          <w:sz w:val="22"/>
          <w:szCs w:val="22"/>
        </w:rPr>
        <w:t xml:space="preserve">not </w:t>
      </w:r>
      <w:r w:rsidRPr="00F377F7">
        <w:rPr>
          <w:color w:val="000000"/>
          <w:sz w:val="22"/>
          <w:szCs w:val="22"/>
        </w:rPr>
        <w:t>make with their campaign funds. For guidance</w:t>
      </w:r>
      <w:r w:rsidR="000A2458" w:rsidRPr="00F377F7">
        <w:rPr>
          <w:color w:val="000000"/>
          <w:sz w:val="22"/>
          <w:szCs w:val="22"/>
        </w:rPr>
        <w:t xml:space="preserve"> </w:t>
      </w:r>
      <w:r w:rsidRPr="00F377F7">
        <w:rPr>
          <w:color w:val="000000"/>
          <w:sz w:val="22"/>
          <w:szCs w:val="22"/>
        </w:rPr>
        <w:t>in drafting a “personal use” definition, the Commission should review the FEC’s</w:t>
      </w:r>
      <w:r w:rsidR="000A2458" w:rsidRPr="00F377F7">
        <w:rPr>
          <w:color w:val="000000"/>
          <w:sz w:val="22"/>
          <w:szCs w:val="22"/>
        </w:rPr>
        <w:t xml:space="preserve"> </w:t>
      </w:r>
      <w:r w:rsidRPr="00F377F7">
        <w:rPr>
          <w:color w:val="000000"/>
          <w:sz w:val="22"/>
          <w:szCs w:val="22"/>
        </w:rPr>
        <w:t xml:space="preserve">regulation prohibiting federal candidates’ personal use of campaign </w:t>
      </w:r>
      <w:r w:rsidRPr="00F377F7">
        <w:rPr>
          <w:color w:val="000000"/>
          <w:sz w:val="22"/>
          <w:szCs w:val="22"/>
        </w:rPr>
        <w:lastRenderedPageBreak/>
        <w:t>funds.</w:t>
      </w:r>
      <w:r w:rsidR="000A2458" w:rsidRPr="00F377F7">
        <w:rPr>
          <w:rStyle w:val="FootnoteReference"/>
          <w:color w:val="000000"/>
          <w:sz w:val="22"/>
          <w:szCs w:val="22"/>
        </w:rPr>
        <w:footnoteReference w:id="27"/>
      </w:r>
      <w:r w:rsidRPr="00F377F7">
        <w:rPr>
          <w:color w:val="000000"/>
          <w:sz w:val="22"/>
          <w:szCs w:val="22"/>
        </w:rPr>
        <w:t xml:space="preserve"> </w:t>
      </w:r>
      <w:proofErr w:type="gramStart"/>
      <w:r w:rsidRPr="00F377F7">
        <w:rPr>
          <w:color w:val="000000"/>
          <w:sz w:val="22"/>
          <w:szCs w:val="22"/>
        </w:rPr>
        <w:t>The</w:t>
      </w:r>
      <w:r w:rsidR="000A2458" w:rsidRPr="00F377F7">
        <w:rPr>
          <w:color w:val="000000"/>
          <w:sz w:val="22"/>
          <w:szCs w:val="22"/>
        </w:rPr>
        <w:t xml:space="preserve"> </w:t>
      </w:r>
      <w:r w:rsidRPr="00F377F7">
        <w:rPr>
          <w:color w:val="000000"/>
          <w:sz w:val="22"/>
          <w:szCs w:val="22"/>
        </w:rPr>
        <w:t>federal regulation in</w:t>
      </w:r>
      <w:r w:rsidR="000A2458" w:rsidRPr="00F377F7">
        <w:rPr>
          <w:color w:val="000000"/>
          <w:sz w:val="22"/>
          <w:szCs w:val="22"/>
        </w:rPr>
        <w:t xml:space="preserve">cludes a general definition for </w:t>
      </w:r>
      <w:r w:rsidRPr="00F377F7">
        <w:rPr>
          <w:color w:val="000000"/>
          <w:sz w:val="22"/>
          <w:szCs w:val="22"/>
        </w:rPr>
        <w:t>personal use,” covering any use</w:t>
      </w:r>
      <w:r w:rsidR="000A2458" w:rsidRPr="00F377F7">
        <w:rPr>
          <w:color w:val="000000"/>
          <w:sz w:val="22"/>
          <w:szCs w:val="22"/>
        </w:rPr>
        <w:t xml:space="preserve"> </w:t>
      </w:r>
      <w:r w:rsidRPr="00F377F7">
        <w:rPr>
          <w:color w:val="000000"/>
          <w:sz w:val="22"/>
          <w:szCs w:val="22"/>
        </w:rPr>
        <w:t>of campaign funds “to fulf</w:t>
      </w:r>
      <w:r w:rsidR="000A2458" w:rsidRPr="00F377F7">
        <w:rPr>
          <w:color w:val="000000"/>
          <w:sz w:val="22"/>
          <w:szCs w:val="22"/>
        </w:rPr>
        <w:t xml:space="preserve">ill a commitment, obligation or </w:t>
      </w:r>
      <w:r w:rsidRPr="00F377F7">
        <w:rPr>
          <w:color w:val="000000"/>
          <w:sz w:val="22"/>
          <w:szCs w:val="22"/>
        </w:rPr>
        <w:t>expense of any person that</w:t>
      </w:r>
      <w:r w:rsidR="000A2458" w:rsidRPr="00F377F7">
        <w:rPr>
          <w:color w:val="000000"/>
          <w:sz w:val="22"/>
          <w:szCs w:val="22"/>
        </w:rPr>
        <w:t xml:space="preserve"> </w:t>
      </w:r>
      <w:r w:rsidRPr="00F377F7">
        <w:rPr>
          <w:color w:val="000000"/>
          <w:sz w:val="22"/>
          <w:szCs w:val="22"/>
        </w:rPr>
        <w:t>would exist irrespective of the candidate’s campaign or duties as a federal</w:t>
      </w:r>
      <w:r w:rsidR="000A2458" w:rsidRPr="00F377F7">
        <w:rPr>
          <w:color w:val="000000"/>
          <w:sz w:val="22"/>
          <w:szCs w:val="22"/>
        </w:rPr>
        <w:t xml:space="preserve"> </w:t>
      </w:r>
      <w:r w:rsidRPr="00F377F7">
        <w:rPr>
          <w:color w:val="000000"/>
          <w:sz w:val="22"/>
          <w:szCs w:val="22"/>
        </w:rPr>
        <w:t xml:space="preserve">officeholder,” and also lists particular expenses </w:t>
      </w:r>
      <w:r w:rsidR="000A2458" w:rsidRPr="00F377F7">
        <w:rPr>
          <w:color w:val="000000"/>
          <w:sz w:val="22"/>
          <w:szCs w:val="22"/>
        </w:rPr>
        <w:t xml:space="preserve">that constitute personal use by </w:t>
      </w:r>
      <w:r w:rsidRPr="00F377F7">
        <w:rPr>
          <w:color w:val="000000"/>
          <w:sz w:val="22"/>
          <w:szCs w:val="22"/>
        </w:rPr>
        <w:t>candidates, such as purchases of household items, m</w:t>
      </w:r>
      <w:r w:rsidR="000A2458" w:rsidRPr="00F377F7">
        <w:rPr>
          <w:color w:val="000000"/>
          <w:sz w:val="22"/>
          <w:szCs w:val="22"/>
        </w:rPr>
        <w:t xml:space="preserve">ortgage or utility payments for personal </w:t>
      </w:r>
      <w:r w:rsidRPr="00F377F7">
        <w:rPr>
          <w:color w:val="000000"/>
          <w:sz w:val="22"/>
          <w:szCs w:val="22"/>
        </w:rPr>
        <w:t>residences, and dues payments for private clubs.</w:t>
      </w:r>
      <w:r w:rsidR="000A2458" w:rsidRPr="00F377F7">
        <w:rPr>
          <w:rStyle w:val="FootnoteReference"/>
          <w:color w:val="000000"/>
          <w:sz w:val="22"/>
          <w:szCs w:val="22"/>
        </w:rPr>
        <w:footnoteReference w:id="28"/>
      </w:r>
      <w:proofErr w:type="gramEnd"/>
    </w:p>
    <w:p w:rsidR="000A2458" w:rsidRPr="00F377F7" w:rsidRDefault="000A2458" w:rsidP="00265186">
      <w:pPr>
        <w:autoSpaceDE w:val="0"/>
        <w:autoSpaceDN w:val="0"/>
        <w:adjustRightInd w:val="0"/>
        <w:rPr>
          <w:color w:val="000000"/>
          <w:sz w:val="22"/>
          <w:szCs w:val="22"/>
        </w:rPr>
      </w:pPr>
    </w:p>
    <w:p w:rsidR="00265186" w:rsidRPr="00F377F7" w:rsidRDefault="00265186" w:rsidP="00265186">
      <w:pPr>
        <w:autoSpaceDE w:val="0"/>
        <w:autoSpaceDN w:val="0"/>
        <w:adjustRightInd w:val="0"/>
        <w:rPr>
          <w:color w:val="000000"/>
          <w:sz w:val="22"/>
          <w:szCs w:val="22"/>
        </w:rPr>
      </w:pPr>
      <w:r w:rsidRPr="00F377F7">
        <w:rPr>
          <w:color w:val="000000"/>
          <w:sz w:val="22"/>
          <w:szCs w:val="22"/>
        </w:rPr>
        <w:t>To provide more guidance on the permissible</w:t>
      </w:r>
      <w:r w:rsidR="000A2458" w:rsidRPr="00F377F7">
        <w:rPr>
          <w:color w:val="000000"/>
          <w:sz w:val="22"/>
          <w:szCs w:val="22"/>
        </w:rPr>
        <w:t xml:space="preserve"> </w:t>
      </w:r>
      <w:proofErr w:type="gramStart"/>
      <w:r w:rsidR="000A2458" w:rsidRPr="00F377F7">
        <w:rPr>
          <w:color w:val="000000"/>
          <w:sz w:val="22"/>
          <w:szCs w:val="22"/>
        </w:rPr>
        <w:t>uses</w:t>
      </w:r>
      <w:proofErr w:type="gramEnd"/>
      <w:r w:rsidR="000A2458" w:rsidRPr="00F377F7">
        <w:rPr>
          <w:color w:val="000000"/>
          <w:sz w:val="22"/>
          <w:szCs w:val="22"/>
        </w:rPr>
        <w:t xml:space="preserve"> of campaign funds, and to </w:t>
      </w:r>
      <w:r w:rsidRPr="00F377F7">
        <w:rPr>
          <w:color w:val="000000"/>
          <w:sz w:val="22"/>
          <w:szCs w:val="22"/>
        </w:rPr>
        <w:t>prevent candidates from spending those funds for their own private benefit, the final</w:t>
      </w:r>
      <w:r w:rsidR="000A2458" w:rsidRPr="00F377F7">
        <w:rPr>
          <w:color w:val="000000"/>
          <w:sz w:val="22"/>
          <w:szCs w:val="22"/>
        </w:rPr>
        <w:t xml:space="preserve"> </w:t>
      </w:r>
      <w:r w:rsidRPr="00F377F7">
        <w:rPr>
          <w:color w:val="000000"/>
          <w:sz w:val="22"/>
          <w:szCs w:val="22"/>
        </w:rPr>
        <w:t>rule should include a definition of “personal use.”</w:t>
      </w:r>
    </w:p>
    <w:p w:rsidR="000A2458" w:rsidRPr="00F377F7" w:rsidRDefault="000A2458" w:rsidP="00265186">
      <w:pPr>
        <w:autoSpaceDE w:val="0"/>
        <w:autoSpaceDN w:val="0"/>
        <w:adjustRightInd w:val="0"/>
        <w:rPr>
          <w:color w:val="000000"/>
          <w:sz w:val="22"/>
          <w:szCs w:val="22"/>
        </w:rPr>
      </w:pPr>
    </w:p>
    <w:p w:rsidR="00137DB0" w:rsidRPr="00F377F7" w:rsidRDefault="00137DB0" w:rsidP="00137DB0">
      <w:pPr>
        <w:autoSpaceDE w:val="0"/>
        <w:autoSpaceDN w:val="0"/>
        <w:adjustRightInd w:val="0"/>
        <w:rPr>
          <w:b/>
          <w:color w:val="000000"/>
          <w:sz w:val="22"/>
          <w:szCs w:val="22"/>
        </w:rPr>
      </w:pPr>
      <w:r w:rsidRPr="00F377F7">
        <w:rPr>
          <w:b/>
          <w:color w:val="000000"/>
          <w:sz w:val="22"/>
          <w:szCs w:val="22"/>
        </w:rPr>
        <w:t>RESPONSE:</w:t>
      </w:r>
    </w:p>
    <w:p w:rsidR="00137DB0" w:rsidRPr="00F377F7" w:rsidRDefault="00137DB0" w:rsidP="00137DB0">
      <w:pPr>
        <w:autoSpaceDE w:val="0"/>
        <w:autoSpaceDN w:val="0"/>
        <w:adjustRightInd w:val="0"/>
        <w:rPr>
          <w:color w:val="000000"/>
          <w:sz w:val="22"/>
          <w:szCs w:val="22"/>
        </w:rPr>
      </w:pPr>
    </w:p>
    <w:p w:rsidR="004908CF" w:rsidRPr="00F377F7" w:rsidRDefault="004908CF" w:rsidP="004908CF">
      <w:pPr>
        <w:autoSpaceDE w:val="0"/>
        <w:autoSpaceDN w:val="0"/>
        <w:adjustRightInd w:val="0"/>
        <w:rPr>
          <w:b/>
          <w:color w:val="000000"/>
          <w:sz w:val="22"/>
          <w:szCs w:val="22"/>
        </w:rPr>
      </w:pPr>
      <w:r w:rsidRPr="00F377F7">
        <w:rPr>
          <w:b/>
          <w:color w:val="000000"/>
          <w:sz w:val="22"/>
          <w:szCs w:val="22"/>
        </w:rPr>
        <w:t xml:space="preserve">The Rule </w:t>
      </w:r>
      <w:proofErr w:type="gramStart"/>
      <w:r w:rsidRPr="00F377F7">
        <w:rPr>
          <w:b/>
          <w:color w:val="000000"/>
          <w:sz w:val="22"/>
          <w:szCs w:val="22"/>
        </w:rPr>
        <w:t>will be amended</w:t>
      </w:r>
      <w:proofErr w:type="gramEnd"/>
      <w:r w:rsidRPr="00F377F7">
        <w:rPr>
          <w:b/>
          <w:color w:val="000000"/>
          <w:sz w:val="22"/>
          <w:szCs w:val="22"/>
        </w:rPr>
        <w:t xml:space="preserve"> to include the Federal Election Commission’s definition and guidance for the phrase “personal use” in the campaign finance context. </w:t>
      </w:r>
    </w:p>
    <w:p w:rsidR="004908CF" w:rsidRPr="00F377F7" w:rsidRDefault="004908CF" w:rsidP="00137DB0">
      <w:pPr>
        <w:autoSpaceDE w:val="0"/>
        <w:autoSpaceDN w:val="0"/>
        <w:adjustRightInd w:val="0"/>
        <w:rPr>
          <w:color w:val="000000"/>
          <w:sz w:val="22"/>
          <w:szCs w:val="22"/>
        </w:rPr>
      </w:pPr>
    </w:p>
    <w:p w:rsidR="00137DB0" w:rsidRPr="00F377F7" w:rsidRDefault="00137DB0" w:rsidP="00265186">
      <w:pPr>
        <w:autoSpaceDE w:val="0"/>
        <w:autoSpaceDN w:val="0"/>
        <w:adjustRightInd w:val="0"/>
        <w:rPr>
          <w:color w:val="000000"/>
          <w:sz w:val="22"/>
          <w:szCs w:val="22"/>
        </w:rPr>
      </w:pPr>
    </w:p>
    <w:p w:rsidR="00265186" w:rsidRPr="00F377F7" w:rsidRDefault="00265186" w:rsidP="000A2458">
      <w:pPr>
        <w:pStyle w:val="ListParagraph"/>
        <w:numPr>
          <w:ilvl w:val="0"/>
          <w:numId w:val="3"/>
        </w:numPr>
        <w:autoSpaceDE w:val="0"/>
        <w:autoSpaceDN w:val="0"/>
        <w:adjustRightInd w:val="0"/>
        <w:rPr>
          <w:b/>
          <w:bCs/>
          <w:color w:val="000000"/>
          <w:sz w:val="22"/>
          <w:szCs w:val="22"/>
        </w:rPr>
      </w:pPr>
      <w:r w:rsidRPr="00F377F7">
        <w:rPr>
          <w:b/>
          <w:bCs/>
          <w:color w:val="000000"/>
          <w:sz w:val="22"/>
          <w:szCs w:val="22"/>
        </w:rPr>
        <w:t>§ 146-3-10. “Solicitation for Political Purposes”</w:t>
      </w:r>
    </w:p>
    <w:p w:rsidR="000A2458" w:rsidRPr="00F377F7" w:rsidRDefault="000A2458" w:rsidP="000A2458">
      <w:pPr>
        <w:pStyle w:val="ListParagraph"/>
        <w:autoSpaceDE w:val="0"/>
        <w:autoSpaceDN w:val="0"/>
        <w:adjustRightInd w:val="0"/>
        <w:rPr>
          <w:b/>
          <w:bCs/>
          <w:color w:val="000000"/>
          <w:sz w:val="22"/>
          <w:szCs w:val="22"/>
        </w:rPr>
      </w:pPr>
    </w:p>
    <w:p w:rsidR="00265186" w:rsidRPr="00F377F7" w:rsidRDefault="00265186" w:rsidP="000A2458">
      <w:pPr>
        <w:autoSpaceDE w:val="0"/>
        <w:autoSpaceDN w:val="0"/>
        <w:adjustRightInd w:val="0"/>
        <w:ind w:firstLine="720"/>
        <w:rPr>
          <w:i/>
          <w:iCs/>
          <w:color w:val="000000"/>
          <w:sz w:val="22"/>
          <w:szCs w:val="22"/>
        </w:rPr>
      </w:pPr>
      <w:r w:rsidRPr="00F377F7">
        <w:rPr>
          <w:i/>
          <w:iCs/>
          <w:color w:val="000000"/>
          <w:sz w:val="22"/>
          <w:szCs w:val="22"/>
        </w:rPr>
        <w:t>Subsection 10.9. Solicitations by Federal Committees</w:t>
      </w:r>
    </w:p>
    <w:p w:rsidR="000A2458" w:rsidRPr="00F377F7" w:rsidRDefault="000A2458" w:rsidP="000A2458">
      <w:pPr>
        <w:autoSpaceDE w:val="0"/>
        <w:autoSpaceDN w:val="0"/>
        <w:adjustRightInd w:val="0"/>
        <w:ind w:firstLine="720"/>
        <w:rPr>
          <w:i/>
          <w:iCs/>
          <w:color w:val="000000"/>
          <w:sz w:val="22"/>
          <w:szCs w:val="22"/>
        </w:rPr>
      </w:pPr>
    </w:p>
    <w:p w:rsidR="00265186" w:rsidRPr="00F377F7" w:rsidRDefault="00265186" w:rsidP="00265186">
      <w:pPr>
        <w:autoSpaceDE w:val="0"/>
        <w:autoSpaceDN w:val="0"/>
        <w:adjustRightInd w:val="0"/>
        <w:rPr>
          <w:color w:val="000000"/>
          <w:sz w:val="22"/>
          <w:szCs w:val="22"/>
        </w:rPr>
      </w:pPr>
      <w:r w:rsidRPr="00F377F7">
        <w:rPr>
          <w:color w:val="000000"/>
          <w:sz w:val="22"/>
          <w:szCs w:val="22"/>
        </w:rPr>
        <w:t>In subsection 10.9, the proposed rule provide</w:t>
      </w:r>
      <w:r w:rsidR="000A2458" w:rsidRPr="00F377F7">
        <w:rPr>
          <w:color w:val="000000"/>
          <w:sz w:val="22"/>
          <w:szCs w:val="22"/>
        </w:rPr>
        <w:t xml:space="preserve">s that a solicitation made by a </w:t>
      </w:r>
      <w:r w:rsidRPr="00F377F7">
        <w:rPr>
          <w:color w:val="000000"/>
          <w:sz w:val="22"/>
          <w:szCs w:val="22"/>
        </w:rPr>
        <w:t xml:space="preserve">federal political committee “within the state” </w:t>
      </w:r>
      <w:proofErr w:type="gramStart"/>
      <w:r w:rsidRPr="00F377F7">
        <w:rPr>
          <w:color w:val="000000"/>
          <w:sz w:val="22"/>
          <w:szCs w:val="22"/>
        </w:rPr>
        <w:t>is</w:t>
      </w:r>
      <w:proofErr w:type="gramEnd"/>
      <w:r w:rsidRPr="00F377F7">
        <w:rPr>
          <w:color w:val="000000"/>
          <w:sz w:val="22"/>
          <w:szCs w:val="22"/>
        </w:rPr>
        <w:t xml:space="preserve"> subject to state law if “all or part of</w:t>
      </w:r>
      <w:r w:rsidR="000A2458" w:rsidRPr="00F377F7">
        <w:rPr>
          <w:color w:val="000000"/>
          <w:sz w:val="22"/>
          <w:szCs w:val="22"/>
        </w:rPr>
        <w:t xml:space="preserve"> </w:t>
      </w:r>
      <w:r w:rsidRPr="00F377F7">
        <w:rPr>
          <w:color w:val="000000"/>
          <w:sz w:val="22"/>
          <w:szCs w:val="22"/>
        </w:rPr>
        <w:t>any contribution received as a result of the solicitation is used to expressly</w:t>
      </w:r>
      <w:r w:rsidR="000A2458" w:rsidRPr="00F377F7">
        <w:rPr>
          <w:color w:val="000000"/>
          <w:sz w:val="22"/>
          <w:szCs w:val="22"/>
        </w:rPr>
        <w:t xml:space="preserve"> </w:t>
      </w:r>
      <w:r w:rsidRPr="00F377F7">
        <w:rPr>
          <w:color w:val="000000"/>
          <w:sz w:val="22"/>
          <w:szCs w:val="22"/>
        </w:rPr>
        <w:t>advocated the election or defeat of a candidate or candidates in non-federal races in</w:t>
      </w:r>
      <w:r w:rsidR="000A2458" w:rsidRPr="00F377F7">
        <w:rPr>
          <w:color w:val="000000"/>
          <w:sz w:val="22"/>
          <w:szCs w:val="22"/>
        </w:rPr>
        <w:t xml:space="preserve"> </w:t>
      </w:r>
      <w:r w:rsidRPr="00F377F7">
        <w:rPr>
          <w:color w:val="000000"/>
          <w:sz w:val="22"/>
          <w:szCs w:val="22"/>
        </w:rPr>
        <w:t>West Virginia.” This amended language would narrow the coverage of § 146-3-10.9,</w:t>
      </w:r>
      <w:r w:rsidR="000A2458" w:rsidRPr="00F377F7">
        <w:rPr>
          <w:color w:val="000000"/>
          <w:sz w:val="22"/>
          <w:szCs w:val="22"/>
        </w:rPr>
        <w:t xml:space="preserve"> </w:t>
      </w:r>
      <w:r w:rsidRPr="00F377F7">
        <w:rPr>
          <w:color w:val="000000"/>
          <w:sz w:val="22"/>
          <w:szCs w:val="22"/>
        </w:rPr>
        <w:t>which is currently applicable to any funds solicited by a federal committee “to</w:t>
      </w:r>
      <w:r w:rsidR="000A2458" w:rsidRPr="00F377F7">
        <w:rPr>
          <w:color w:val="000000"/>
          <w:sz w:val="22"/>
          <w:szCs w:val="22"/>
        </w:rPr>
        <w:t xml:space="preserve"> </w:t>
      </w:r>
      <w:r w:rsidRPr="00F377F7">
        <w:rPr>
          <w:color w:val="000000"/>
          <w:sz w:val="22"/>
          <w:szCs w:val="22"/>
        </w:rPr>
        <w:t>support” candidates in non-federal elections, by stipulating that money solicited by a</w:t>
      </w:r>
      <w:r w:rsidR="000A2458" w:rsidRPr="00F377F7">
        <w:rPr>
          <w:color w:val="000000"/>
          <w:sz w:val="22"/>
          <w:szCs w:val="22"/>
        </w:rPr>
        <w:t xml:space="preserve"> </w:t>
      </w:r>
      <w:r w:rsidRPr="00F377F7">
        <w:rPr>
          <w:color w:val="000000"/>
          <w:sz w:val="22"/>
          <w:szCs w:val="22"/>
        </w:rPr>
        <w:t xml:space="preserve">federal committee is subject to state law only if </w:t>
      </w:r>
      <w:r w:rsidR="000A2458" w:rsidRPr="00F377F7">
        <w:rPr>
          <w:color w:val="000000"/>
          <w:sz w:val="22"/>
          <w:szCs w:val="22"/>
        </w:rPr>
        <w:t xml:space="preserve">subsequently used “to expressly </w:t>
      </w:r>
      <w:r w:rsidRPr="00F377F7">
        <w:rPr>
          <w:color w:val="000000"/>
          <w:sz w:val="22"/>
          <w:szCs w:val="22"/>
        </w:rPr>
        <w:t>advocate” for or against a candidate in a West Virginia election.</w:t>
      </w:r>
    </w:p>
    <w:p w:rsidR="000A2458" w:rsidRPr="00F377F7" w:rsidRDefault="000A2458" w:rsidP="00265186">
      <w:pPr>
        <w:autoSpaceDE w:val="0"/>
        <w:autoSpaceDN w:val="0"/>
        <w:adjustRightInd w:val="0"/>
        <w:rPr>
          <w:color w:val="000000"/>
          <w:sz w:val="22"/>
          <w:szCs w:val="22"/>
        </w:rPr>
      </w:pPr>
    </w:p>
    <w:p w:rsidR="00265186" w:rsidRPr="00F377F7" w:rsidRDefault="00265186" w:rsidP="00265186">
      <w:pPr>
        <w:autoSpaceDE w:val="0"/>
        <w:autoSpaceDN w:val="0"/>
        <w:adjustRightInd w:val="0"/>
        <w:rPr>
          <w:color w:val="000000"/>
          <w:sz w:val="22"/>
          <w:szCs w:val="22"/>
        </w:rPr>
      </w:pPr>
      <w:r w:rsidRPr="00F377F7">
        <w:rPr>
          <w:color w:val="000000"/>
          <w:sz w:val="22"/>
          <w:szCs w:val="22"/>
        </w:rPr>
        <w:t xml:space="preserve">We recommend against narrowing the rule’s </w:t>
      </w:r>
      <w:r w:rsidR="000A2458" w:rsidRPr="00F377F7">
        <w:rPr>
          <w:color w:val="000000"/>
          <w:sz w:val="22"/>
          <w:szCs w:val="22"/>
        </w:rPr>
        <w:t xml:space="preserve">coverage of federal committees’ </w:t>
      </w:r>
      <w:r w:rsidRPr="00F377F7">
        <w:rPr>
          <w:color w:val="000000"/>
          <w:sz w:val="22"/>
          <w:szCs w:val="22"/>
        </w:rPr>
        <w:t>solicitations. Otherwise, the rule would allow a federal committee to solicit</w:t>
      </w:r>
      <w:r w:rsidR="000A2458" w:rsidRPr="00F377F7">
        <w:rPr>
          <w:color w:val="000000"/>
          <w:sz w:val="22"/>
          <w:szCs w:val="22"/>
        </w:rPr>
        <w:t xml:space="preserve"> </w:t>
      </w:r>
      <w:r w:rsidRPr="00F377F7">
        <w:rPr>
          <w:color w:val="000000"/>
          <w:sz w:val="22"/>
          <w:szCs w:val="22"/>
        </w:rPr>
        <w:t xml:space="preserve">contributions in West Virginia, </w:t>
      </w:r>
      <w:proofErr w:type="gramStart"/>
      <w:r w:rsidRPr="00F377F7">
        <w:rPr>
          <w:color w:val="000000"/>
          <w:sz w:val="22"/>
          <w:szCs w:val="22"/>
        </w:rPr>
        <w:t>then</w:t>
      </w:r>
      <w:proofErr w:type="gramEnd"/>
      <w:r w:rsidRPr="00F377F7">
        <w:rPr>
          <w:color w:val="000000"/>
          <w:sz w:val="22"/>
          <w:szCs w:val="22"/>
        </w:rPr>
        <w:t xml:space="preserve"> make non-express advocacy expenditures</w:t>
      </w:r>
      <w:r w:rsidR="000A2458" w:rsidRPr="00F377F7">
        <w:rPr>
          <w:color w:val="000000"/>
          <w:sz w:val="22"/>
          <w:szCs w:val="22"/>
        </w:rPr>
        <w:t xml:space="preserve"> </w:t>
      </w:r>
      <w:r w:rsidRPr="00F377F7">
        <w:rPr>
          <w:color w:val="000000"/>
          <w:sz w:val="22"/>
          <w:szCs w:val="22"/>
        </w:rPr>
        <w:t>meant to influence state elections without being subject to the state’s solicitation</w:t>
      </w:r>
      <w:r w:rsidR="000A2458" w:rsidRPr="00F377F7">
        <w:rPr>
          <w:color w:val="000000"/>
          <w:sz w:val="22"/>
          <w:szCs w:val="22"/>
        </w:rPr>
        <w:t xml:space="preserve"> </w:t>
      </w:r>
      <w:r w:rsidRPr="00F377F7">
        <w:rPr>
          <w:color w:val="000000"/>
          <w:sz w:val="22"/>
          <w:szCs w:val="22"/>
        </w:rPr>
        <w:t>requirements. Instead of contracting the coverage of this subsection, we suggest</w:t>
      </w:r>
      <w:r w:rsidR="000A2458" w:rsidRPr="00F377F7">
        <w:rPr>
          <w:color w:val="000000"/>
          <w:sz w:val="22"/>
          <w:szCs w:val="22"/>
        </w:rPr>
        <w:t xml:space="preserve"> </w:t>
      </w:r>
      <w:r w:rsidRPr="00F377F7">
        <w:rPr>
          <w:color w:val="000000"/>
          <w:sz w:val="22"/>
          <w:szCs w:val="22"/>
        </w:rPr>
        <w:t>broadening it to cover any solicitations by federal committees if any resultant</w:t>
      </w:r>
      <w:r w:rsidR="000A2458" w:rsidRPr="00F377F7">
        <w:rPr>
          <w:color w:val="000000"/>
          <w:sz w:val="22"/>
          <w:szCs w:val="22"/>
        </w:rPr>
        <w:t xml:space="preserve"> </w:t>
      </w:r>
      <w:r w:rsidRPr="00F377F7">
        <w:rPr>
          <w:color w:val="000000"/>
          <w:sz w:val="22"/>
          <w:szCs w:val="22"/>
        </w:rPr>
        <w:t>contributions are then used “for political purposes,” as defined by the Code.</w:t>
      </w:r>
      <w:r w:rsidR="000A2458" w:rsidRPr="00F377F7">
        <w:rPr>
          <w:rStyle w:val="FootnoteReference"/>
          <w:color w:val="000000"/>
          <w:sz w:val="22"/>
          <w:szCs w:val="22"/>
        </w:rPr>
        <w:footnoteReference w:id="29"/>
      </w:r>
    </w:p>
    <w:p w:rsidR="000A2458" w:rsidRPr="00F377F7" w:rsidRDefault="000A2458" w:rsidP="00265186">
      <w:pPr>
        <w:autoSpaceDE w:val="0"/>
        <w:autoSpaceDN w:val="0"/>
        <w:adjustRightInd w:val="0"/>
        <w:rPr>
          <w:color w:val="000000"/>
          <w:sz w:val="22"/>
          <w:szCs w:val="22"/>
        </w:rPr>
      </w:pPr>
    </w:p>
    <w:p w:rsidR="00137DB0" w:rsidRPr="00F377F7" w:rsidRDefault="00137DB0" w:rsidP="00137DB0">
      <w:pPr>
        <w:autoSpaceDE w:val="0"/>
        <w:autoSpaceDN w:val="0"/>
        <w:adjustRightInd w:val="0"/>
        <w:rPr>
          <w:b/>
          <w:color w:val="000000"/>
          <w:sz w:val="22"/>
          <w:szCs w:val="22"/>
        </w:rPr>
      </w:pPr>
      <w:r w:rsidRPr="00F377F7">
        <w:rPr>
          <w:b/>
          <w:color w:val="000000"/>
          <w:sz w:val="22"/>
          <w:szCs w:val="22"/>
        </w:rPr>
        <w:t>RESPONSE:</w:t>
      </w:r>
    </w:p>
    <w:p w:rsidR="00137DB0" w:rsidRPr="00F377F7" w:rsidRDefault="00137DB0" w:rsidP="00137DB0">
      <w:pPr>
        <w:autoSpaceDE w:val="0"/>
        <w:autoSpaceDN w:val="0"/>
        <w:adjustRightInd w:val="0"/>
        <w:rPr>
          <w:color w:val="000000"/>
          <w:sz w:val="22"/>
          <w:szCs w:val="22"/>
        </w:rPr>
      </w:pPr>
    </w:p>
    <w:p w:rsidR="004908CF" w:rsidRPr="00F377F7" w:rsidRDefault="004908CF" w:rsidP="00137DB0">
      <w:pPr>
        <w:autoSpaceDE w:val="0"/>
        <w:autoSpaceDN w:val="0"/>
        <w:adjustRightInd w:val="0"/>
        <w:rPr>
          <w:b/>
          <w:color w:val="000000"/>
          <w:sz w:val="22"/>
          <w:szCs w:val="22"/>
        </w:rPr>
      </w:pPr>
      <w:r w:rsidRPr="00F377F7">
        <w:rPr>
          <w:b/>
          <w:color w:val="000000"/>
          <w:sz w:val="22"/>
          <w:szCs w:val="22"/>
        </w:rPr>
        <w:t>The Rule will be amended to remove the entirety of CSR § 146-3-10.9.</w:t>
      </w:r>
    </w:p>
    <w:p w:rsidR="00137DB0" w:rsidRPr="00F377F7" w:rsidRDefault="00137DB0" w:rsidP="00265186">
      <w:pPr>
        <w:autoSpaceDE w:val="0"/>
        <w:autoSpaceDN w:val="0"/>
        <w:adjustRightInd w:val="0"/>
        <w:rPr>
          <w:color w:val="000000"/>
          <w:sz w:val="22"/>
          <w:szCs w:val="22"/>
        </w:rPr>
      </w:pPr>
    </w:p>
    <w:p w:rsidR="00265186" w:rsidRPr="00F377F7" w:rsidRDefault="00265186" w:rsidP="000A2458">
      <w:pPr>
        <w:pStyle w:val="ListParagraph"/>
        <w:numPr>
          <w:ilvl w:val="0"/>
          <w:numId w:val="3"/>
        </w:numPr>
        <w:autoSpaceDE w:val="0"/>
        <w:autoSpaceDN w:val="0"/>
        <w:adjustRightInd w:val="0"/>
        <w:rPr>
          <w:b/>
          <w:bCs/>
          <w:color w:val="000000"/>
          <w:sz w:val="22"/>
          <w:szCs w:val="22"/>
        </w:rPr>
      </w:pPr>
      <w:r w:rsidRPr="00F377F7">
        <w:rPr>
          <w:b/>
          <w:bCs/>
          <w:color w:val="000000"/>
          <w:sz w:val="22"/>
          <w:szCs w:val="22"/>
        </w:rPr>
        <w:t>§ 146-3-11. “Procedures for Levying Civil Penalties”</w:t>
      </w:r>
    </w:p>
    <w:p w:rsidR="000A2458" w:rsidRPr="00F377F7" w:rsidRDefault="000A2458" w:rsidP="00265186">
      <w:pPr>
        <w:autoSpaceDE w:val="0"/>
        <w:autoSpaceDN w:val="0"/>
        <w:adjustRightInd w:val="0"/>
        <w:rPr>
          <w:i/>
          <w:iCs/>
          <w:color w:val="000000"/>
          <w:sz w:val="22"/>
          <w:szCs w:val="22"/>
        </w:rPr>
      </w:pPr>
    </w:p>
    <w:p w:rsidR="00265186" w:rsidRPr="00F377F7" w:rsidRDefault="00265186" w:rsidP="000A2458">
      <w:pPr>
        <w:autoSpaceDE w:val="0"/>
        <w:autoSpaceDN w:val="0"/>
        <w:adjustRightInd w:val="0"/>
        <w:ind w:firstLine="720"/>
        <w:rPr>
          <w:i/>
          <w:iCs/>
          <w:color w:val="000000"/>
          <w:sz w:val="22"/>
          <w:szCs w:val="22"/>
        </w:rPr>
      </w:pPr>
      <w:r w:rsidRPr="00F377F7">
        <w:rPr>
          <w:i/>
          <w:iCs/>
          <w:color w:val="000000"/>
          <w:sz w:val="22"/>
          <w:szCs w:val="22"/>
        </w:rPr>
        <w:t>Publishing List of Late Filers</w:t>
      </w:r>
    </w:p>
    <w:p w:rsidR="000A2458" w:rsidRPr="00F377F7" w:rsidRDefault="000A2458" w:rsidP="00265186">
      <w:pPr>
        <w:autoSpaceDE w:val="0"/>
        <w:autoSpaceDN w:val="0"/>
        <w:adjustRightInd w:val="0"/>
        <w:rPr>
          <w:color w:val="000000"/>
          <w:sz w:val="22"/>
          <w:szCs w:val="22"/>
        </w:rPr>
      </w:pPr>
    </w:p>
    <w:p w:rsidR="000A2458" w:rsidRPr="00F377F7" w:rsidRDefault="00265186" w:rsidP="00265186">
      <w:pPr>
        <w:autoSpaceDE w:val="0"/>
        <w:autoSpaceDN w:val="0"/>
        <w:adjustRightInd w:val="0"/>
        <w:rPr>
          <w:color w:val="000000"/>
          <w:sz w:val="22"/>
          <w:szCs w:val="22"/>
        </w:rPr>
      </w:pPr>
      <w:r w:rsidRPr="00F377F7">
        <w:rPr>
          <w:color w:val="000000"/>
          <w:sz w:val="22"/>
          <w:szCs w:val="22"/>
        </w:rPr>
        <w:t xml:space="preserve">In the proposed rule, § 146-3-11 describes the </w:t>
      </w:r>
      <w:r w:rsidR="000A2458" w:rsidRPr="00F377F7">
        <w:rPr>
          <w:color w:val="000000"/>
          <w:sz w:val="22"/>
          <w:szCs w:val="22"/>
        </w:rPr>
        <w:t xml:space="preserve">procedures for the Secretary to </w:t>
      </w:r>
      <w:r w:rsidRPr="00F377F7">
        <w:rPr>
          <w:color w:val="000000"/>
          <w:sz w:val="22"/>
          <w:szCs w:val="22"/>
        </w:rPr>
        <w:t>assess civil penalties for different reporting violations. This section of the proposal</w:t>
      </w:r>
      <w:r w:rsidR="000A2458" w:rsidRPr="00F377F7">
        <w:rPr>
          <w:color w:val="000000"/>
          <w:sz w:val="22"/>
          <w:szCs w:val="22"/>
        </w:rPr>
        <w:t xml:space="preserve"> </w:t>
      </w:r>
      <w:r w:rsidRPr="00F377F7">
        <w:rPr>
          <w:color w:val="000000"/>
          <w:sz w:val="22"/>
          <w:szCs w:val="22"/>
        </w:rPr>
        <w:t>does not address the requirement for the Secretary to publish a list online of certain</w:t>
      </w:r>
      <w:r w:rsidR="000A2458" w:rsidRPr="00F377F7">
        <w:rPr>
          <w:color w:val="000000"/>
          <w:sz w:val="22"/>
          <w:szCs w:val="22"/>
        </w:rPr>
        <w:t xml:space="preserve"> </w:t>
      </w:r>
      <w:r w:rsidRPr="00F377F7">
        <w:rPr>
          <w:color w:val="000000"/>
          <w:sz w:val="22"/>
          <w:szCs w:val="22"/>
        </w:rPr>
        <w:t>late filers, pursuant to § 3-8-7(b</w:t>
      </w:r>
      <w:proofErr w:type="gramStart"/>
      <w:r w:rsidRPr="00F377F7">
        <w:rPr>
          <w:color w:val="000000"/>
          <w:sz w:val="22"/>
          <w:szCs w:val="22"/>
        </w:rPr>
        <w:t>)(</w:t>
      </w:r>
      <w:proofErr w:type="gramEnd"/>
      <w:r w:rsidRPr="00F377F7">
        <w:rPr>
          <w:color w:val="000000"/>
          <w:sz w:val="22"/>
          <w:szCs w:val="22"/>
        </w:rPr>
        <w:t>4) of the Code.</w:t>
      </w:r>
    </w:p>
    <w:p w:rsidR="000A2458" w:rsidRPr="00F377F7" w:rsidRDefault="000A2458" w:rsidP="00265186">
      <w:pPr>
        <w:autoSpaceDE w:val="0"/>
        <w:autoSpaceDN w:val="0"/>
        <w:adjustRightInd w:val="0"/>
        <w:rPr>
          <w:color w:val="000000"/>
          <w:sz w:val="22"/>
          <w:szCs w:val="22"/>
        </w:rPr>
      </w:pPr>
    </w:p>
    <w:p w:rsidR="00265186" w:rsidRPr="00F377F7" w:rsidRDefault="00265186" w:rsidP="00265186">
      <w:pPr>
        <w:autoSpaceDE w:val="0"/>
        <w:autoSpaceDN w:val="0"/>
        <w:adjustRightInd w:val="0"/>
        <w:rPr>
          <w:color w:val="000000"/>
          <w:sz w:val="22"/>
          <w:szCs w:val="22"/>
        </w:rPr>
      </w:pPr>
      <w:r w:rsidRPr="00F377F7">
        <w:rPr>
          <w:color w:val="000000"/>
          <w:sz w:val="22"/>
          <w:szCs w:val="22"/>
        </w:rPr>
        <w:lastRenderedPageBreak/>
        <w:t>In the final rule, the Commission should clarify in § 146-3-11 how the</w:t>
      </w:r>
      <w:r w:rsidR="000A2458" w:rsidRPr="00F377F7">
        <w:rPr>
          <w:color w:val="000000"/>
          <w:sz w:val="22"/>
          <w:szCs w:val="22"/>
        </w:rPr>
        <w:t xml:space="preserve"> </w:t>
      </w:r>
      <w:r w:rsidRPr="00F377F7">
        <w:rPr>
          <w:color w:val="000000"/>
          <w:sz w:val="22"/>
          <w:szCs w:val="22"/>
        </w:rPr>
        <w:t>Secretary will publish the list of late filers in accordance with the Code. At a</w:t>
      </w:r>
      <w:r w:rsidR="000A2458" w:rsidRPr="00F377F7">
        <w:rPr>
          <w:color w:val="000000"/>
          <w:sz w:val="22"/>
          <w:szCs w:val="22"/>
        </w:rPr>
        <w:t xml:space="preserve"> </w:t>
      </w:r>
      <w:r w:rsidRPr="00F377F7">
        <w:rPr>
          <w:color w:val="000000"/>
          <w:sz w:val="22"/>
          <w:szCs w:val="22"/>
        </w:rPr>
        <w:t>minimum, the rule should clarify who will appear on the list, when and where the</w:t>
      </w:r>
      <w:r w:rsidR="000A2458" w:rsidRPr="00F377F7">
        <w:rPr>
          <w:color w:val="000000"/>
          <w:sz w:val="22"/>
          <w:szCs w:val="22"/>
        </w:rPr>
        <w:t xml:space="preserve"> </w:t>
      </w:r>
      <w:r w:rsidRPr="00F377F7">
        <w:rPr>
          <w:color w:val="000000"/>
          <w:sz w:val="22"/>
          <w:szCs w:val="22"/>
        </w:rPr>
        <w:t xml:space="preserve">list </w:t>
      </w:r>
      <w:proofErr w:type="gramStart"/>
      <w:r w:rsidRPr="00F377F7">
        <w:rPr>
          <w:color w:val="000000"/>
          <w:sz w:val="22"/>
          <w:szCs w:val="22"/>
        </w:rPr>
        <w:t>will be posted</w:t>
      </w:r>
      <w:proofErr w:type="gramEnd"/>
      <w:r w:rsidRPr="00F377F7">
        <w:rPr>
          <w:color w:val="000000"/>
          <w:sz w:val="22"/>
          <w:szCs w:val="22"/>
        </w:rPr>
        <w:t>, and how long the list will be available online.</w:t>
      </w:r>
    </w:p>
    <w:p w:rsidR="000A2458" w:rsidRPr="00F377F7" w:rsidRDefault="000A2458" w:rsidP="00265186">
      <w:pPr>
        <w:autoSpaceDE w:val="0"/>
        <w:autoSpaceDN w:val="0"/>
        <w:adjustRightInd w:val="0"/>
        <w:rPr>
          <w:color w:val="000000"/>
          <w:sz w:val="22"/>
          <w:szCs w:val="22"/>
        </w:rPr>
      </w:pPr>
    </w:p>
    <w:p w:rsidR="00137DB0" w:rsidRPr="00F377F7" w:rsidRDefault="00137DB0" w:rsidP="00137DB0">
      <w:pPr>
        <w:autoSpaceDE w:val="0"/>
        <w:autoSpaceDN w:val="0"/>
        <w:adjustRightInd w:val="0"/>
        <w:rPr>
          <w:b/>
          <w:color w:val="000000"/>
          <w:sz w:val="22"/>
          <w:szCs w:val="22"/>
        </w:rPr>
      </w:pPr>
      <w:r w:rsidRPr="00F377F7">
        <w:rPr>
          <w:b/>
          <w:color w:val="000000"/>
          <w:sz w:val="22"/>
          <w:szCs w:val="22"/>
        </w:rPr>
        <w:t>RESPONSE:</w:t>
      </w:r>
    </w:p>
    <w:p w:rsidR="00137DB0" w:rsidRPr="00F377F7" w:rsidRDefault="00137DB0" w:rsidP="00137DB0">
      <w:pPr>
        <w:autoSpaceDE w:val="0"/>
        <w:autoSpaceDN w:val="0"/>
        <w:adjustRightInd w:val="0"/>
        <w:rPr>
          <w:color w:val="000000"/>
          <w:sz w:val="22"/>
          <w:szCs w:val="22"/>
        </w:rPr>
      </w:pPr>
    </w:p>
    <w:p w:rsidR="004908CF" w:rsidRPr="00F377F7" w:rsidRDefault="004908CF" w:rsidP="00137DB0">
      <w:pPr>
        <w:autoSpaceDE w:val="0"/>
        <w:autoSpaceDN w:val="0"/>
        <w:adjustRightInd w:val="0"/>
        <w:rPr>
          <w:b/>
          <w:color w:val="000000"/>
          <w:sz w:val="22"/>
          <w:szCs w:val="22"/>
        </w:rPr>
      </w:pPr>
      <w:r w:rsidRPr="00F377F7">
        <w:rPr>
          <w:b/>
          <w:color w:val="000000"/>
          <w:sz w:val="22"/>
          <w:szCs w:val="22"/>
        </w:rPr>
        <w:t xml:space="preserve">The Rule </w:t>
      </w:r>
      <w:proofErr w:type="gramStart"/>
      <w:r w:rsidRPr="00F377F7">
        <w:rPr>
          <w:b/>
          <w:color w:val="000000"/>
          <w:sz w:val="22"/>
          <w:szCs w:val="22"/>
        </w:rPr>
        <w:t>will be amended</w:t>
      </w:r>
      <w:proofErr w:type="gramEnd"/>
      <w:r w:rsidRPr="00F377F7">
        <w:rPr>
          <w:b/>
          <w:color w:val="000000"/>
          <w:sz w:val="22"/>
          <w:szCs w:val="22"/>
        </w:rPr>
        <w:t xml:space="preserve"> to </w:t>
      </w:r>
      <w:r w:rsidR="00520C2D" w:rsidRPr="00F377F7">
        <w:rPr>
          <w:b/>
          <w:color w:val="000000"/>
          <w:sz w:val="22"/>
          <w:szCs w:val="22"/>
        </w:rPr>
        <w:t xml:space="preserve">be consistent with the statute and </w:t>
      </w:r>
      <w:r w:rsidRPr="00F377F7">
        <w:rPr>
          <w:b/>
          <w:color w:val="000000"/>
          <w:sz w:val="22"/>
          <w:szCs w:val="22"/>
        </w:rPr>
        <w:t xml:space="preserve">provide that the public list will be published within ten (10) days following the close of any filing period, or the next business day following a weekend or legal holiday, and will remain online for a period of five (5) years. </w:t>
      </w:r>
    </w:p>
    <w:p w:rsidR="00137DB0" w:rsidRPr="00F377F7" w:rsidRDefault="00137DB0" w:rsidP="00265186">
      <w:pPr>
        <w:autoSpaceDE w:val="0"/>
        <w:autoSpaceDN w:val="0"/>
        <w:adjustRightInd w:val="0"/>
        <w:rPr>
          <w:color w:val="000000"/>
          <w:sz w:val="22"/>
          <w:szCs w:val="22"/>
        </w:rPr>
      </w:pPr>
    </w:p>
    <w:p w:rsidR="00265186" w:rsidRPr="00F377F7" w:rsidRDefault="00265186" w:rsidP="000A2458">
      <w:pPr>
        <w:pStyle w:val="ListParagraph"/>
        <w:numPr>
          <w:ilvl w:val="0"/>
          <w:numId w:val="3"/>
        </w:numPr>
        <w:autoSpaceDE w:val="0"/>
        <w:autoSpaceDN w:val="0"/>
        <w:adjustRightInd w:val="0"/>
        <w:rPr>
          <w:b/>
          <w:bCs/>
          <w:color w:val="000000"/>
          <w:sz w:val="22"/>
          <w:szCs w:val="22"/>
        </w:rPr>
      </w:pPr>
      <w:r w:rsidRPr="00F377F7">
        <w:rPr>
          <w:b/>
          <w:bCs/>
          <w:color w:val="000000"/>
          <w:sz w:val="22"/>
          <w:szCs w:val="22"/>
        </w:rPr>
        <w:t>§ 146-3-13. “Joint Fundraising Agreements”</w:t>
      </w:r>
    </w:p>
    <w:p w:rsidR="000A2458" w:rsidRPr="00F377F7" w:rsidRDefault="000A2458" w:rsidP="000A2458">
      <w:pPr>
        <w:pStyle w:val="ListParagraph"/>
        <w:autoSpaceDE w:val="0"/>
        <w:autoSpaceDN w:val="0"/>
        <w:adjustRightInd w:val="0"/>
        <w:rPr>
          <w:b/>
          <w:bCs/>
          <w:color w:val="000000"/>
          <w:sz w:val="22"/>
          <w:szCs w:val="22"/>
        </w:rPr>
      </w:pPr>
    </w:p>
    <w:p w:rsidR="00265186" w:rsidRPr="00F377F7" w:rsidRDefault="00265186" w:rsidP="000A2458">
      <w:pPr>
        <w:autoSpaceDE w:val="0"/>
        <w:autoSpaceDN w:val="0"/>
        <w:adjustRightInd w:val="0"/>
        <w:ind w:left="720"/>
        <w:rPr>
          <w:i/>
          <w:iCs/>
          <w:color w:val="000000"/>
          <w:sz w:val="22"/>
          <w:szCs w:val="22"/>
        </w:rPr>
      </w:pPr>
      <w:r w:rsidRPr="00F377F7">
        <w:rPr>
          <w:i/>
          <w:iCs/>
          <w:color w:val="000000"/>
          <w:sz w:val="22"/>
          <w:szCs w:val="22"/>
        </w:rPr>
        <w:t xml:space="preserve">Prohibiting Joint Fundraising Agreements </w:t>
      </w:r>
      <w:proofErr w:type="gramStart"/>
      <w:r w:rsidRPr="00F377F7">
        <w:rPr>
          <w:i/>
          <w:iCs/>
          <w:color w:val="000000"/>
          <w:sz w:val="22"/>
          <w:szCs w:val="22"/>
        </w:rPr>
        <w:t>Between</w:t>
      </w:r>
      <w:proofErr w:type="gramEnd"/>
      <w:r w:rsidRPr="00F377F7">
        <w:rPr>
          <w:i/>
          <w:iCs/>
          <w:color w:val="000000"/>
          <w:sz w:val="22"/>
          <w:szCs w:val="22"/>
        </w:rPr>
        <w:t xml:space="preserve"> Candidates &amp;</w:t>
      </w:r>
      <w:r w:rsidR="000A2458" w:rsidRPr="00F377F7">
        <w:rPr>
          <w:i/>
          <w:iCs/>
          <w:color w:val="000000"/>
          <w:sz w:val="22"/>
          <w:szCs w:val="22"/>
        </w:rPr>
        <w:t xml:space="preserve"> </w:t>
      </w:r>
      <w:r w:rsidRPr="00F377F7">
        <w:rPr>
          <w:i/>
          <w:iCs/>
          <w:color w:val="000000"/>
          <w:sz w:val="22"/>
          <w:szCs w:val="22"/>
        </w:rPr>
        <w:t>Independent Expenditure-Only Political Committees</w:t>
      </w:r>
    </w:p>
    <w:p w:rsidR="000A2458" w:rsidRPr="00F377F7" w:rsidRDefault="000A2458" w:rsidP="00265186">
      <w:pPr>
        <w:autoSpaceDE w:val="0"/>
        <w:autoSpaceDN w:val="0"/>
        <w:adjustRightInd w:val="0"/>
        <w:rPr>
          <w:color w:val="000000"/>
          <w:sz w:val="22"/>
          <w:szCs w:val="22"/>
        </w:rPr>
      </w:pPr>
    </w:p>
    <w:p w:rsidR="000A2458" w:rsidRPr="00F377F7" w:rsidRDefault="00265186" w:rsidP="00265186">
      <w:pPr>
        <w:autoSpaceDE w:val="0"/>
        <w:autoSpaceDN w:val="0"/>
        <w:adjustRightInd w:val="0"/>
        <w:rPr>
          <w:color w:val="000000"/>
          <w:sz w:val="22"/>
          <w:szCs w:val="22"/>
        </w:rPr>
      </w:pPr>
      <w:r w:rsidRPr="00F377F7">
        <w:rPr>
          <w:color w:val="000000"/>
          <w:sz w:val="22"/>
          <w:szCs w:val="22"/>
        </w:rPr>
        <w:t>§ 146-3-13 of the proposed rule sets forth the requirements for political</w:t>
      </w:r>
      <w:r w:rsidR="000A2458" w:rsidRPr="00F377F7">
        <w:rPr>
          <w:color w:val="000000"/>
          <w:sz w:val="22"/>
          <w:szCs w:val="22"/>
        </w:rPr>
        <w:t xml:space="preserve"> </w:t>
      </w:r>
      <w:r w:rsidRPr="00F377F7">
        <w:rPr>
          <w:color w:val="000000"/>
          <w:sz w:val="22"/>
          <w:szCs w:val="22"/>
        </w:rPr>
        <w:t>committees to establish joint fundraising agreements. While this section of the</w:t>
      </w:r>
      <w:r w:rsidR="000A2458" w:rsidRPr="00F377F7">
        <w:rPr>
          <w:color w:val="000000"/>
          <w:sz w:val="22"/>
          <w:szCs w:val="22"/>
        </w:rPr>
        <w:t xml:space="preserve"> </w:t>
      </w:r>
      <w:r w:rsidRPr="00F377F7">
        <w:rPr>
          <w:color w:val="000000"/>
          <w:sz w:val="22"/>
          <w:szCs w:val="22"/>
        </w:rPr>
        <w:t>proposed rule is relatively extensive, it does not include an express prohibition</w:t>
      </w:r>
      <w:r w:rsidR="000A2458" w:rsidRPr="00F377F7">
        <w:rPr>
          <w:color w:val="000000"/>
          <w:sz w:val="22"/>
          <w:szCs w:val="22"/>
        </w:rPr>
        <w:t xml:space="preserve"> </w:t>
      </w:r>
      <w:r w:rsidRPr="00F377F7">
        <w:rPr>
          <w:color w:val="000000"/>
          <w:sz w:val="22"/>
          <w:szCs w:val="22"/>
        </w:rPr>
        <w:t>against candidates establishing joint fundraising agreements with independent</w:t>
      </w:r>
      <w:r w:rsidR="000A2458" w:rsidRPr="00F377F7">
        <w:rPr>
          <w:color w:val="000000"/>
          <w:sz w:val="22"/>
          <w:szCs w:val="22"/>
        </w:rPr>
        <w:t xml:space="preserve"> </w:t>
      </w:r>
      <w:r w:rsidRPr="00F377F7">
        <w:rPr>
          <w:color w:val="000000"/>
          <w:sz w:val="22"/>
          <w:szCs w:val="22"/>
        </w:rPr>
        <w:t>expenditure-only political committees. Elsewhere in the proposed rule, the definition</w:t>
      </w:r>
      <w:r w:rsidR="000A2458" w:rsidRPr="00F377F7">
        <w:rPr>
          <w:color w:val="000000"/>
          <w:sz w:val="22"/>
          <w:szCs w:val="22"/>
        </w:rPr>
        <w:t xml:space="preserve"> </w:t>
      </w:r>
      <w:r w:rsidRPr="00F377F7">
        <w:rPr>
          <w:color w:val="000000"/>
          <w:sz w:val="22"/>
          <w:szCs w:val="22"/>
        </w:rPr>
        <w:t>of “independent expenditure-only political c</w:t>
      </w:r>
      <w:r w:rsidR="000A2458" w:rsidRPr="00F377F7">
        <w:rPr>
          <w:color w:val="000000"/>
          <w:sz w:val="22"/>
          <w:szCs w:val="22"/>
        </w:rPr>
        <w:t xml:space="preserve">ommittee” stipulates that these </w:t>
      </w:r>
      <w:r w:rsidRPr="00F377F7">
        <w:rPr>
          <w:color w:val="000000"/>
          <w:sz w:val="22"/>
          <w:szCs w:val="22"/>
        </w:rPr>
        <w:t>committees may not “participate in joint fundraising</w:t>
      </w:r>
      <w:r w:rsidR="000A2458" w:rsidRPr="00F377F7">
        <w:rPr>
          <w:color w:val="000000"/>
          <w:sz w:val="22"/>
          <w:szCs w:val="22"/>
        </w:rPr>
        <w:t xml:space="preserve"> agreements with a candidate or </w:t>
      </w:r>
      <w:r w:rsidRPr="00F377F7">
        <w:rPr>
          <w:color w:val="000000"/>
          <w:sz w:val="22"/>
          <w:szCs w:val="22"/>
        </w:rPr>
        <w:t>candidate’s committee.” This restriction is not referenced in § 146-3-13, however.</w:t>
      </w:r>
      <w:r w:rsidR="000A2458" w:rsidRPr="00F377F7">
        <w:rPr>
          <w:color w:val="000000"/>
          <w:sz w:val="22"/>
          <w:szCs w:val="22"/>
        </w:rPr>
        <w:t xml:space="preserve"> </w:t>
      </w:r>
    </w:p>
    <w:p w:rsidR="000A2458" w:rsidRPr="00F377F7" w:rsidRDefault="000A2458" w:rsidP="00265186">
      <w:pPr>
        <w:autoSpaceDE w:val="0"/>
        <w:autoSpaceDN w:val="0"/>
        <w:adjustRightInd w:val="0"/>
        <w:rPr>
          <w:color w:val="000000"/>
          <w:sz w:val="22"/>
          <w:szCs w:val="22"/>
        </w:rPr>
      </w:pPr>
    </w:p>
    <w:p w:rsidR="00265186" w:rsidRPr="00F377F7" w:rsidRDefault="00265186" w:rsidP="00265186">
      <w:pPr>
        <w:autoSpaceDE w:val="0"/>
        <w:autoSpaceDN w:val="0"/>
        <w:adjustRightInd w:val="0"/>
        <w:rPr>
          <w:color w:val="000000"/>
          <w:sz w:val="22"/>
          <w:szCs w:val="22"/>
        </w:rPr>
      </w:pPr>
      <w:r w:rsidRPr="00F377F7">
        <w:rPr>
          <w:color w:val="000000"/>
          <w:sz w:val="22"/>
          <w:szCs w:val="22"/>
        </w:rPr>
        <w:t>We recommend adding another provision within § 146-3-13 to reiterate that</w:t>
      </w:r>
      <w:r w:rsidR="000A2458" w:rsidRPr="00F377F7">
        <w:rPr>
          <w:color w:val="000000"/>
          <w:sz w:val="22"/>
          <w:szCs w:val="22"/>
        </w:rPr>
        <w:t xml:space="preserve"> </w:t>
      </w:r>
      <w:r w:rsidRPr="00F377F7">
        <w:rPr>
          <w:color w:val="000000"/>
          <w:sz w:val="22"/>
          <w:szCs w:val="22"/>
        </w:rPr>
        <w:t>candidates may not enter into joint fundraising agreements with independent</w:t>
      </w:r>
      <w:r w:rsidR="000A2458" w:rsidRPr="00F377F7">
        <w:rPr>
          <w:color w:val="000000"/>
          <w:sz w:val="22"/>
          <w:szCs w:val="22"/>
        </w:rPr>
        <w:t xml:space="preserve"> </w:t>
      </w:r>
      <w:r w:rsidRPr="00F377F7">
        <w:rPr>
          <w:color w:val="000000"/>
          <w:sz w:val="22"/>
          <w:szCs w:val="22"/>
        </w:rPr>
        <w:t>expenditure-only political committees. Adding the proscription in this section of the</w:t>
      </w:r>
      <w:r w:rsidR="000A2458" w:rsidRPr="00F377F7">
        <w:rPr>
          <w:color w:val="000000"/>
          <w:sz w:val="22"/>
          <w:szCs w:val="22"/>
        </w:rPr>
        <w:t xml:space="preserve"> </w:t>
      </w:r>
      <w:r w:rsidRPr="00F377F7">
        <w:rPr>
          <w:color w:val="000000"/>
          <w:sz w:val="22"/>
          <w:szCs w:val="22"/>
        </w:rPr>
        <w:t>rule would make clear that candidates and independent expenditure-only political</w:t>
      </w:r>
      <w:r w:rsidR="000A2458" w:rsidRPr="00F377F7">
        <w:rPr>
          <w:color w:val="000000"/>
          <w:sz w:val="22"/>
          <w:szCs w:val="22"/>
        </w:rPr>
        <w:t xml:space="preserve"> </w:t>
      </w:r>
      <w:r w:rsidRPr="00F377F7">
        <w:rPr>
          <w:color w:val="000000"/>
          <w:sz w:val="22"/>
          <w:szCs w:val="22"/>
        </w:rPr>
        <w:t xml:space="preserve">committees </w:t>
      </w:r>
      <w:proofErr w:type="gramStart"/>
      <w:r w:rsidRPr="00F377F7">
        <w:rPr>
          <w:color w:val="000000"/>
          <w:sz w:val="22"/>
          <w:szCs w:val="22"/>
        </w:rPr>
        <w:t>may</w:t>
      </w:r>
      <w:proofErr w:type="gramEnd"/>
      <w:r w:rsidRPr="00F377F7">
        <w:rPr>
          <w:color w:val="000000"/>
          <w:sz w:val="22"/>
          <w:szCs w:val="22"/>
        </w:rPr>
        <w:t xml:space="preserve"> </w:t>
      </w:r>
      <w:r w:rsidRPr="00F377F7">
        <w:rPr>
          <w:i/>
          <w:iCs/>
          <w:color w:val="000000"/>
          <w:sz w:val="22"/>
          <w:szCs w:val="22"/>
        </w:rPr>
        <w:t xml:space="preserve">not </w:t>
      </w:r>
      <w:r w:rsidRPr="00F377F7">
        <w:rPr>
          <w:color w:val="000000"/>
          <w:sz w:val="22"/>
          <w:szCs w:val="22"/>
        </w:rPr>
        <w:t>establish joint fundraising agreements.</w:t>
      </w:r>
    </w:p>
    <w:p w:rsidR="000A2458" w:rsidRPr="00F377F7" w:rsidRDefault="000A2458" w:rsidP="00265186">
      <w:pPr>
        <w:autoSpaceDE w:val="0"/>
        <w:autoSpaceDN w:val="0"/>
        <w:adjustRightInd w:val="0"/>
        <w:rPr>
          <w:color w:val="000000"/>
          <w:sz w:val="22"/>
          <w:szCs w:val="22"/>
        </w:rPr>
      </w:pPr>
    </w:p>
    <w:p w:rsidR="00137DB0" w:rsidRPr="00F377F7" w:rsidRDefault="00137DB0" w:rsidP="00137DB0">
      <w:pPr>
        <w:autoSpaceDE w:val="0"/>
        <w:autoSpaceDN w:val="0"/>
        <w:adjustRightInd w:val="0"/>
        <w:rPr>
          <w:b/>
          <w:color w:val="000000"/>
          <w:sz w:val="22"/>
          <w:szCs w:val="22"/>
        </w:rPr>
      </w:pPr>
      <w:r w:rsidRPr="00F377F7">
        <w:rPr>
          <w:b/>
          <w:color w:val="000000"/>
          <w:sz w:val="22"/>
          <w:szCs w:val="22"/>
        </w:rPr>
        <w:t>RESPONSE:</w:t>
      </w:r>
    </w:p>
    <w:p w:rsidR="00137DB0" w:rsidRPr="00F377F7" w:rsidRDefault="00137DB0" w:rsidP="00137DB0">
      <w:pPr>
        <w:autoSpaceDE w:val="0"/>
        <w:autoSpaceDN w:val="0"/>
        <w:adjustRightInd w:val="0"/>
        <w:rPr>
          <w:color w:val="000000"/>
          <w:sz w:val="22"/>
          <w:szCs w:val="22"/>
        </w:rPr>
      </w:pPr>
    </w:p>
    <w:p w:rsidR="00AB6C4E" w:rsidRPr="00F377F7" w:rsidRDefault="00AB6C4E" w:rsidP="00137DB0">
      <w:pPr>
        <w:autoSpaceDE w:val="0"/>
        <w:autoSpaceDN w:val="0"/>
        <w:adjustRightInd w:val="0"/>
        <w:rPr>
          <w:b/>
          <w:color w:val="000000"/>
          <w:sz w:val="22"/>
          <w:szCs w:val="22"/>
        </w:rPr>
      </w:pPr>
      <w:r w:rsidRPr="00F377F7">
        <w:rPr>
          <w:b/>
          <w:color w:val="000000"/>
          <w:sz w:val="22"/>
          <w:szCs w:val="22"/>
        </w:rPr>
        <w:t xml:space="preserve">The Rule </w:t>
      </w:r>
      <w:proofErr w:type="gramStart"/>
      <w:r w:rsidRPr="00F377F7">
        <w:rPr>
          <w:b/>
          <w:color w:val="000000"/>
          <w:sz w:val="22"/>
          <w:szCs w:val="22"/>
        </w:rPr>
        <w:t>will be amended</w:t>
      </w:r>
      <w:proofErr w:type="gramEnd"/>
      <w:r w:rsidRPr="00F377F7">
        <w:rPr>
          <w:b/>
          <w:color w:val="000000"/>
          <w:sz w:val="22"/>
          <w:szCs w:val="22"/>
        </w:rPr>
        <w:t xml:space="preserve"> to clarify that all committees and candidates are prohibited from entering into a Joint Fundraising Agreement with Independent Expenditure-only committees.</w:t>
      </w:r>
    </w:p>
    <w:p w:rsidR="00137DB0" w:rsidRPr="00F377F7" w:rsidRDefault="00137DB0" w:rsidP="00265186">
      <w:pPr>
        <w:autoSpaceDE w:val="0"/>
        <w:autoSpaceDN w:val="0"/>
        <w:adjustRightInd w:val="0"/>
        <w:rPr>
          <w:color w:val="000000"/>
          <w:sz w:val="22"/>
          <w:szCs w:val="22"/>
        </w:rPr>
      </w:pPr>
    </w:p>
    <w:p w:rsidR="000A2458" w:rsidRPr="00F377F7" w:rsidRDefault="00265186" w:rsidP="00265186">
      <w:pPr>
        <w:pStyle w:val="ListParagraph"/>
        <w:numPr>
          <w:ilvl w:val="0"/>
          <w:numId w:val="3"/>
        </w:numPr>
        <w:autoSpaceDE w:val="0"/>
        <w:autoSpaceDN w:val="0"/>
        <w:adjustRightInd w:val="0"/>
        <w:rPr>
          <w:b/>
          <w:bCs/>
          <w:color w:val="000000"/>
          <w:sz w:val="22"/>
          <w:szCs w:val="22"/>
        </w:rPr>
      </w:pPr>
      <w:r w:rsidRPr="00F377F7">
        <w:rPr>
          <w:b/>
          <w:bCs/>
          <w:color w:val="000000"/>
          <w:sz w:val="22"/>
          <w:szCs w:val="22"/>
        </w:rPr>
        <w:t>§ 146-3-14. “Coordinated Activity”</w:t>
      </w:r>
    </w:p>
    <w:p w:rsidR="000A2458" w:rsidRPr="00F377F7" w:rsidRDefault="000A2458" w:rsidP="000A2458">
      <w:pPr>
        <w:pStyle w:val="ListParagraph"/>
        <w:autoSpaceDE w:val="0"/>
        <w:autoSpaceDN w:val="0"/>
        <w:adjustRightInd w:val="0"/>
        <w:rPr>
          <w:b/>
          <w:bCs/>
          <w:color w:val="000000"/>
          <w:sz w:val="22"/>
          <w:szCs w:val="22"/>
        </w:rPr>
      </w:pPr>
    </w:p>
    <w:p w:rsidR="00265186" w:rsidRPr="00F377F7" w:rsidRDefault="00265186" w:rsidP="000A2458">
      <w:pPr>
        <w:pStyle w:val="ListParagraph"/>
        <w:numPr>
          <w:ilvl w:val="1"/>
          <w:numId w:val="3"/>
        </w:numPr>
        <w:autoSpaceDE w:val="0"/>
        <w:autoSpaceDN w:val="0"/>
        <w:adjustRightInd w:val="0"/>
        <w:rPr>
          <w:b/>
          <w:bCs/>
          <w:color w:val="000000"/>
          <w:sz w:val="22"/>
          <w:szCs w:val="22"/>
        </w:rPr>
      </w:pPr>
      <w:r w:rsidRPr="00F377F7">
        <w:rPr>
          <w:i/>
          <w:iCs/>
          <w:color w:val="000000"/>
          <w:sz w:val="22"/>
          <w:szCs w:val="22"/>
        </w:rPr>
        <w:t>Subsection 14.1. Definition of “Coordination Expenditure”</w:t>
      </w:r>
    </w:p>
    <w:p w:rsidR="000A2458" w:rsidRPr="00F377F7" w:rsidRDefault="000A2458" w:rsidP="00265186">
      <w:pPr>
        <w:autoSpaceDE w:val="0"/>
        <w:autoSpaceDN w:val="0"/>
        <w:adjustRightInd w:val="0"/>
        <w:rPr>
          <w:color w:val="000000"/>
          <w:sz w:val="22"/>
          <w:szCs w:val="22"/>
        </w:rPr>
      </w:pPr>
    </w:p>
    <w:p w:rsidR="00265186" w:rsidRPr="00F377F7" w:rsidRDefault="00265186" w:rsidP="00265186">
      <w:pPr>
        <w:autoSpaceDE w:val="0"/>
        <w:autoSpaceDN w:val="0"/>
        <w:adjustRightInd w:val="0"/>
        <w:rPr>
          <w:color w:val="000000"/>
          <w:sz w:val="22"/>
          <w:szCs w:val="22"/>
        </w:rPr>
      </w:pPr>
      <w:r w:rsidRPr="00F377F7">
        <w:rPr>
          <w:color w:val="000000"/>
          <w:sz w:val="22"/>
          <w:szCs w:val="22"/>
        </w:rPr>
        <w:t>In subsection 14.1, the proposed rule again def</w:t>
      </w:r>
      <w:r w:rsidR="000A2458" w:rsidRPr="00F377F7">
        <w:rPr>
          <w:color w:val="000000"/>
          <w:sz w:val="22"/>
          <w:szCs w:val="22"/>
        </w:rPr>
        <w:t xml:space="preserve">ines “coordinated expenditure,” </w:t>
      </w:r>
      <w:r w:rsidRPr="00F377F7">
        <w:rPr>
          <w:color w:val="000000"/>
          <w:sz w:val="22"/>
          <w:szCs w:val="22"/>
        </w:rPr>
        <w:t>after having already included a definition for the term in § 146-3-2.10. We are</w:t>
      </w:r>
      <w:r w:rsidR="000A2458" w:rsidRPr="00F377F7">
        <w:rPr>
          <w:color w:val="000000"/>
          <w:sz w:val="22"/>
          <w:szCs w:val="22"/>
        </w:rPr>
        <w:t xml:space="preserve"> </w:t>
      </w:r>
      <w:r w:rsidRPr="00F377F7">
        <w:rPr>
          <w:color w:val="000000"/>
          <w:sz w:val="22"/>
          <w:szCs w:val="22"/>
        </w:rPr>
        <w:t>concerned that the two definition will create confusion, especially since they vary in</w:t>
      </w:r>
      <w:r w:rsidR="000A2458" w:rsidRPr="00F377F7">
        <w:rPr>
          <w:color w:val="000000"/>
          <w:sz w:val="22"/>
          <w:szCs w:val="22"/>
        </w:rPr>
        <w:t xml:space="preserve"> </w:t>
      </w:r>
      <w:r w:rsidRPr="00F377F7">
        <w:rPr>
          <w:color w:val="000000"/>
          <w:sz w:val="22"/>
          <w:szCs w:val="22"/>
        </w:rPr>
        <w:t>their substance. Notably, the “coordinated expenditure” definition under § 146-3-2.10 is more comprehensive, and encompasses coordination not only with</w:t>
      </w:r>
      <w:r w:rsidR="000A2458" w:rsidRPr="00F377F7">
        <w:rPr>
          <w:color w:val="000000"/>
          <w:sz w:val="22"/>
          <w:szCs w:val="22"/>
        </w:rPr>
        <w:t xml:space="preserve"> </w:t>
      </w:r>
      <w:r w:rsidRPr="00F377F7">
        <w:rPr>
          <w:color w:val="000000"/>
          <w:sz w:val="22"/>
          <w:szCs w:val="22"/>
        </w:rPr>
        <w:t>candidates, but also with political party committees and caucus campaign</w:t>
      </w:r>
      <w:r w:rsidR="000A2458" w:rsidRPr="00F377F7">
        <w:rPr>
          <w:color w:val="000000"/>
          <w:sz w:val="22"/>
          <w:szCs w:val="22"/>
        </w:rPr>
        <w:t xml:space="preserve"> </w:t>
      </w:r>
      <w:r w:rsidRPr="00F377F7">
        <w:rPr>
          <w:color w:val="000000"/>
          <w:sz w:val="22"/>
          <w:szCs w:val="22"/>
        </w:rPr>
        <w:t>committees.</w:t>
      </w:r>
    </w:p>
    <w:p w:rsidR="000A2458" w:rsidRPr="00F377F7" w:rsidRDefault="000A2458" w:rsidP="00265186">
      <w:pPr>
        <w:autoSpaceDE w:val="0"/>
        <w:autoSpaceDN w:val="0"/>
        <w:adjustRightInd w:val="0"/>
        <w:rPr>
          <w:color w:val="000000"/>
          <w:sz w:val="22"/>
          <w:szCs w:val="22"/>
        </w:rPr>
      </w:pPr>
    </w:p>
    <w:p w:rsidR="00265186" w:rsidRPr="00F377F7" w:rsidRDefault="00265186" w:rsidP="00265186">
      <w:pPr>
        <w:autoSpaceDE w:val="0"/>
        <w:autoSpaceDN w:val="0"/>
        <w:adjustRightInd w:val="0"/>
        <w:rPr>
          <w:color w:val="000000"/>
          <w:sz w:val="22"/>
          <w:szCs w:val="22"/>
        </w:rPr>
      </w:pPr>
      <w:r w:rsidRPr="00F377F7">
        <w:rPr>
          <w:color w:val="000000"/>
          <w:sz w:val="22"/>
          <w:szCs w:val="22"/>
        </w:rPr>
        <w:t>If the rule is going to define “coordinated expe</w:t>
      </w:r>
      <w:r w:rsidR="000A2458" w:rsidRPr="00F377F7">
        <w:rPr>
          <w:color w:val="000000"/>
          <w:sz w:val="22"/>
          <w:szCs w:val="22"/>
        </w:rPr>
        <w:t xml:space="preserve">nditures” in multiple sections, </w:t>
      </w:r>
      <w:r w:rsidRPr="00F377F7">
        <w:rPr>
          <w:color w:val="000000"/>
          <w:sz w:val="22"/>
          <w:szCs w:val="22"/>
        </w:rPr>
        <w:t xml:space="preserve">the definitions should be consistent. Moreover, the term </w:t>
      </w:r>
      <w:r w:rsidRPr="00F377F7">
        <w:rPr>
          <w:i/>
          <w:iCs/>
          <w:color w:val="000000"/>
          <w:sz w:val="22"/>
          <w:szCs w:val="22"/>
        </w:rPr>
        <w:t xml:space="preserve">should </w:t>
      </w:r>
      <w:r w:rsidRPr="00F377F7">
        <w:rPr>
          <w:color w:val="000000"/>
          <w:sz w:val="22"/>
          <w:szCs w:val="22"/>
        </w:rPr>
        <w:t>include coordination</w:t>
      </w:r>
      <w:r w:rsidR="000A2458" w:rsidRPr="00F377F7">
        <w:rPr>
          <w:color w:val="000000"/>
          <w:sz w:val="22"/>
          <w:szCs w:val="22"/>
        </w:rPr>
        <w:t xml:space="preserve"> </w:t>
      </w:r>
      <w:r w:rsidRPr="00F377F7">
        <w:rPr>
          <w:color w:val="000000"/>
          <w:sz w:val="22"/>
          <w:szCs w:val="22"/>
        </w:rPr>
        <w:t>with political party committees and caucus campaign committees, as it currently</w:t>
      </w:r>
      <w:r w:rsidR="000A2458" w:rsidRPr="00F377F7">
        <w:rPr>
          <w:color w:val="000000"/>
          <w:sz w:val="22"/>
          <w:szCs w:val="22"/>
        </w:rPr>
        <w:t xml:space="preserve"> </w:t>
      </w:r>
      <w:r w:rsidRPr="00F377F7">
        <w:rPr>
          <w:color w:val="000000"/>
          <w:sz w:val="22"/>
          <w:szCs w:val="22"/>
        </w:rPr>
        <w:t>does under § 146-3-2.10 of the proposed rule, since party and caucus committees,</w:t>
      </w:r>
      <w:r w:rsidR="000A2458" w:rsidRPr="00F377F7">
        <w:rPr>
          <w:color w:val="000000"/>
          <w:sz w:val="22"/>
          <w:szCs w:val="22"/>
        </w:rPr>
        <w:t xml:space="preserve"> </w:t>
      </w:r>
      <w:r w:rsidRPr="00F377F7">
        <w:rPr>
          <w:color w:val="000000"/>
          <w:sz w:val="22"/>
          <w:szCs w:val="22"/>
        </w:rPr>
        <w:t>like candidates, are subject to contribution limits under the Code. In addition to</w:t>
      </w:r>
      <w:r w:rsidR="000A2458" w:rsidRPr="00F377F7">
        <w:rPr>
          <w:color w:val="000000"/>
          <w:sz w:val="22"/>
          <w:szCs w:val="22"/>
        </w:rPr>
        <w:t xml:space="preserve"> </w:t>
      </w:r>
      <w:r w:rsidRPr="00F377F7">
        <w:rPr>
          <w:color w:val="000000"/>
          <w:sz w:val="22"/>
          <w:szCs w:val="22"/>
        </w:rPr>
        <w:t>covering coordination with political party committees and caucus campaign</w:t>
      </w:r>
      <w:r w:rsidR="000A2458" w:rsidRPr="00F377F7">
        <w:rPr>
          <w:color w:val="000000"/>
          <w:sz w:val="22"/>
          <w:szCs w:val="22"/>
        </w:rPr>
        <w:t xml:space="preserve"> </w:t>
      </w:r>
      <w:r w:rsidRPr="00F377F7">
        <w:rPr>
          <w:color w:val="000000"/>
          <w:sz w:val="22"/>
          <w:szCs w:val="22"/>
        </w:rPr>
        <w:t>committees, we repeat our earlier recommend</w:t>
      </w:r>
      <w:r w:rsidR="000A2458" w:rsidRPr="00F377F7">
        <w:rPr>
          <w:color w:val="000000"/>
          <w:sz w:val="22"/>
          <w:szCs w:val="22"/>
        </w:rPr>
        <w:t xml:space="preserve">ation to include electioneering </w:t>
      </w:r>
      <w:r w:rsidRPr="00F377F7">
        <w:rPr>
          <w:color w:val="000000"/>
          <w:sz w:val="22"/>
          <w:szCs w:val="22"/>
        </w:rPr>
        <w:t>communications within the rule’s definition of “coordinated expenditure.”</w:t>
      </w:r>
    </w:p>
    <w:p w:rsidR="000A2458" w:rsidRPr="00F377F7" w:rsidRDefault="000A2458" w:rsidP="00265186">
      <w:pPr>
        <w:autoSpaceDE w:val="0"/>
        <w:autoSpaceDN w:val="0"/>
        <w:adjustRightInd w:val="0"/>
        <w:rPr>
          <w:i/>
          <w:iCs/>
          <w:color w:val="000000"/>
          <w:sz w:val="22"/>
          <w:szCs w:val="22"/>
        </w:rPr>
      </w:pPr>
    </w:p>
    <w:p w:rsidR="00137DB0" w:rsidRPr="00F377F7" w:rsidRDefault="00137DB0" w:rsidP="00137DB0">
      <w:pPr>
        <w:autoSpaceDE w:val="0"/>
        <w:autoSpaceDN w:val="0"/>
        <w:adjustRightInd w:val="0"/>
        <w:rPr>
          <w:b/>
          <w:color w:val="000000"/>
          <w:sz w:val="22"/>
          <w:szCs w:val="22"/>
        </w:rPr>
      </w:pPr>
      <w:r w:rsidRPr="00F377F7">
        <w:rPr>
          <w:b/>
          <w:color w:val="000000"/>
          <w:sz w:val="22"/>
          <w:szCs w:val="22"/>
        </w:rPr>
        <w:lastRenderedPageBreak/>
        <w:t>RESPONSE:</w:t>
      </w:r>
    </w:p>
    <w:p w:rsidR="00AB6C4E" w:rsidRPr="00F377F7" w:rsidRDefault="00AB6C4E" w:rsidP="00137DB0">
      <w:pPr>
        <w:autoSpaceDE w:val="0"/>
        <w:autoSpaceDN w:val="0"/>
        <w:adjustRightInd w:val="0"/>
        <w:rPr>
          <w:color w:val="000000"/>
          <w:sz w:val="22"/>
          <w:szCs w:val="22"/>
        </w:rPr>
      </w:pPr>
    </w:p>
    <w:p w:rsidR="00AB6C4E" w:rsidRPr="00F377F7" w:rsidRDefault="00AB6C4E" w:rsidP="00137DB0">
      <w:pPr>
        <w:autoSpaceDE w:val="0"/>
        <w:autoSpaceDN w:val="0"/>
        <w:adjustRightInd w:val="0"/>
        <w:rPr>
          <w:b/>
          <w:color w:val="000000"/>
          <w:sz w:val="22"/>
          <w:szCs w:val="22"/>
        </w:rPr>
      </w:pPr>
      <w:r w:rsidRPr="00F377F7">
        <w:rPr>
          <w:b/>
          <w:color w:val="000000"/>
          <w:sz w:val="22"/>
          <w:szCs w:val="22"/>
        </w:rPr>
        <w:t xml:space="preserve">The Rule </w:t>
      </w:r>
      <w:proofErr w:type="gramStart"/>
      <w:r w:rsidRPr="00F377F7">
        <w:rPr>
          <w:b/>
          <w:color w:val="000000"/>
          <w:sz w:val="22"/>
          <w:szCs w:val="22"/>
        </w:rPr>
        <w:t>will be amended</w:t>
      </w:r>
      <w:proofErr w:type="gramEnd"/>
      <w:r w:rsidRPr="00F377F7">
        <w:rPr>
          <w:b/>
          <w:color w:val="000000"/>
          <w:sz w:val="22"/>
          <w:szCs w:val="22"/>
        </w:rPr>
        <w:t xml:space="preserve"> to include the phrase “electioneering communications.” </w:t>
      </w:r>
    </w:p>
    <w:p w:rsidR="00137DB0" w:rsidRPr="00F377F7" w:rsidRDefault="00137DB0" w:rsidP="00265186">
      <w:pPr>
        <w:autoSpaceDE w:val="0"/>
        <w:autoSpaceDN w:val="0"/>
        <w:adjustRightInd w:val="0"/>
        <w:rPr>
          <w:i/>
          <w:iCs/>
          <w:color w:val="000000"/>
          <w:sz w:val="22"/>
          <w:szCs w:val="22"/>
        </w:rPr>
      </w:pPr>
    </w:p>
    <w:p w:rsidR="00265186" w:rsidRPr="00F377F7" w:rsidRDefault="00265186" w:rsidP="000A2458">
      <w:pPr>
        <w:pStyle w:val="ListParagraph"/>
        <w:numPr>
          <w:ilvl w:val="1"/>
          <w:numId w:val="3"/>
        </w:numPr>
        <w:autoSpaceDE w:val="0"/>
        <w:autoSpaceDN w:val="0"/>
        <w:adjustRightInd w:val="0"/>
        <w:rPr>
          <w:i/>
          <w:iCs/>
          <w:color w:val="000000"/>
          <w:sz w:val="22"/>
          <w:szCs w:val="22"/>
        </w:rPr>
      </w:pPr>
      <w:r w:rsidRPr="00F377F7">
        <w:rPr>
          <w:i/>
          <w:iCs/>
          <w:color w:val="000000"/>
          <w:sz w:val="22"/>
          <w:szCs w:val="22"/>
        </w:rPr>
        <w:t>Subsection 14.3. Types of Expenditures Considered “Coordinated”</w:t>
      </w:r>
    </w:p>
    <w:p w:rsidR="000A2458" w:rsidRPr="00F377F7" w:rsidRDefault="000A2458" w:rsidP="000A2458">
      <w:pPr>
        <w:pStyle w:val="ListParagraph"/>
        <w:autoSpaceDE w:val="0"/>
        <w:autoSpaceDN w:val="0"/>
        <w:adjustRightInd w:val="0"/>
        <w:ind w:left="1440"/>
        <w:rPr>
          <w:i/>
          <w:iCs/>
          <w:color w:val="000000"/>
          <w:sz w:val="22"/>
          <w:szCs w:val="22"/>
        </w:rPr>
      </w:pPr>
    </w:p>
    <w:p w:rsidR="000A2458" w:rsidRPr="00F377F7" w:rsidRDefault="00265186" w:rsidP="00265186">
      <w:pPr>
        <w:autoSpaceDE w:val="0"/>
        <w:autoSpaceDN w:val="0"/>
        <w:adjustRightInd w:val="0"/>
        <w:rPr>
          <w:color w:val="000000"/>
          <w:sz w:val="22"/>
          <w:szCs w:val="22"/>
        </w:rPr>
      </w:pPr>
      <w:r w:rsidRPr="00F377F7">
        <w:rPr>
          <w:color w:val="000000"/>
          <w:sz w:val="22"/>
          <w:szCs w:val="22"/>
        </w:rPr>
        <w:t>Subsection 14.3 lists various expenditures th</w:t>
      </w:r>
      <w:r w:rsidR="000A2458" w:rsidRPr="00F377F7">
        <w:rPr>
          <w:color w:val="000000"/>
          <w:sz w:val="22"/>
          <w:szCs w:val="22"/>
        </w:rPr>
        <w:t xml:space="preserve">at </w:t>
      </w:r>
      <w:proofErr w:type="gramStart"/>
      <w:r w:rsidR="000A2458" w:rsidRPr="00F377F7">
        <w:rPr>
          <w:color w:val="000000"/>
          <w:sz w:val="22"/>
          <w:szCs w:val="22"/>
        </w:rPr>
        <w:t>are considered</w:t>
      </w:r>
      <w:proofErr w:type="gramEnd"/>
      <w:r w:rsidR="000A2458" w:rsidRPr="00F377F7">
        <w:rPr>
          <w:color w:val="000000"/>
          <w:sz w:val="22"/>
          <w:szCs w:val="22"/>
        </w:rPr>
        <w:t xml:space="preserve"> “coordinated” </w:t>
      </w:r>
      <w:r w:rsidRPr="00F377F7">
        <w:rPr>
          <w:color w:val="000000"/>
          <w:sz w:val="22"/>
          <w:szCs w:val="22"/>
        </w:rPr>
        <w:t>under the proposed rule. Along with the “coordinated expenditures” already</w:t>
      </w:r>
      <w:r w:rsidR="000A2458" w:rsidRPr="00F377F7">
        <w:rPr>
          <w:color w:val="000000"/>
          <w:sz w:val="22"/>
          <w:szCs w:val="22"/>
        </w:rPr>
        <w:t xml:space="preserve"> </w:t>
      </w:r>
      <w:r w:rsidRPr="00F377F7">
        <w:rPr>
          <w:color w:val="000000"/>
          <w:sz w:val="22"/>
          <w:szCs w:val="22"/>
        </w:rPr>
        <w:t>described in subsection 14.3, we recommend including a person or entity’s</w:t>
      </w:r>
      <w:r w:rsidR="000A2458" w:rsidRPr="00F377F7">
        <w:rPr>
          <w:color w:val="000000"/>
          <w:sz w:val="22"/>
          <w:szCs w:val="22"/>
        </w:rPr>
        <w:t xml:space="preserve"> </w:t>
      </w:r>
      <w:r w:rsidRPr="00F377F7">
        <w:rPr>
          <w:color w:val="000000"/>
          <w:sz w:val="22"/>
          <w:szCs w:val="22"/>
        </w:rPr>
        <w:t>republication of campaign material originally created or prepared by a candidate</w:t>
      </w:r>
      <w:r w:rsidR="000A2458" w:rsidRPr="00F377F7">
        <w:rPr>
          <w:color w:val="000000"/>
          <w:sz w:val="22"/>
          <w:szCs w:val="22"/>
        </w:rPr>
        <w:t xml:space="preserve"> </w:t>
      </w:r>
      <w:r w:rsidRPr="00F377F7">
        <w:rPr>
          <w:color w:val="000000"/>
          <w:sz w:val="22"/>
          <w:szCs w:val="22"/>
        </w:rPr>
        <w:t>committee, provided the republication is intended to support that candidate.</w:t>
      </w:r>
    </w:p>
    <w:p w:rsidR="000A2458" w:rsidRPr="00F377F7" w:rsidRDefault="000A2458" w:rsidP="00265186">
      <w:pPr>
        <w:autoSpaceDE w:val="0"/>
        <w:autoSpaceDN w:val="0"/>
        <w:adjustRightInd w:val="0"/>
        <w:rPr>
          <w:color w:val="000000"/>
          <w:sz w:val="22"/>
          <w:szCs w:val="22"/>
        </w:rPr>
      </w:pPr>
    </w:p>
    <w:p w:rsidR="00265186" w:rsidRPr="00F377F7" w:rsidRDefault="00265186" w:rsidP="00265186">
      <w:pPr>
        <w:autoSpaceDE w:val="0"/>
        <w:autoSpaceDN w:val="0"/>
        <w:adjustRightInd w:val="0"/>
        <w:rPr>
          <w:color w:val="000000"/>
          <w:sz w:val="22"/>
          <w:szCs w:val="22"/>
        </w:rPr>
      </w:pPr>
      <w:r w:rsidRPr="00F377F7">
        <w:rPr>
          <w:color w:val="000000"/>
          <w:sz w:val="22"/>
          <w:szCs w:val="22"/>
        </w:rPr>
        <w:t>An expenditure that republishes a c</w:t>
      </w:r>
      <w:r w:rsidR="000A2458" w:rsidRPr="00F377F7">
        <w:rPr>
          <w:color w:val="000000"/>
          <w:sz w:val="22"/>
          <w:szCs w:val="22"/>
        </w:rPr>
        <w:t xml:space="preserve">andidate’s campaign material or </w:t>
      </w:r>
      <w:r w:rsidRPr="00F377F7">
        <w:rPr>
          <w:color w:val="000000"/>
          <w:sz w:val="22"/>
          <w:szCs w:val="22"/>
        </w:rPr>
        <w:t>advertising is a relatively easy way to support the candidate and to disseminate</w:t>
      </w:r>
      <w:r w:rsidR="000A2458" w:rsidRPr="00F377F7">
        <w:rPr>
          <w:color w:val="000000"/>
          <w:sz w:val="22"/>
          <w:szCs w:val="22"/>
        </w:rPr>
        <w:t xml:space="preserve"> </w:t>
      </w:r>
      <w:r w:rsidRPr="00F377F7">
        <w:rPr>
          <w:color w:val="000000"/>
          <w:sz w:val="22"/>
          <w:szCs w:val="22"/>
        </w:rPr>
        <w:t>their campaign messaging to a wider audience. For this reason, the FEC includes,</w:t>
      </w:r>
      <w:r w:rsidR="000A2458" w:rsidRPr="00F377F7">
        <w:rPr>
          <w:color w:val="000000"/>
          <w:sz w:val="22"/>
          <w:szCs w:val="22"/>
        </w:rPr>
        <w:t xml:space="preserve"> </w:t>
      </w:r>
      <w:r w:rsidRPr="00F377F7">
        <w:rPr>
          <w:color w:val="000000"/>
          <w:sz w:val="22"/>
          <w:szCs w:val="22"/>
        </w:rPr>
        <w:t>within the meaning of “coordination,” an expenditure for a public communication</w:t>
      </w:r>
      <w:r w:rsidR="000A2458" w:rsidRPr="00F377F7">
        <w:rPr>
          <w:color w:val="000000"/>
          <w:sz w:val="22"/>
          <w:szCs w:val="22"/>
        </w:rPr>
        <w:t xml:space="preserve"> </w:t>
      </w:r>
      <w:r w:rsidRPr="00F377F7">
        <w:rPr>
          <w:color w:val="000000"/>
          <w:sz w:val="22"/>
          <w:szCs w:val="22"/>
        </w:rPr>
        <w:t>that “republishes, in whole or in part, campaign materials prepared by a candidate</w:t>
      </w:r>
      <w:r w:rsidR="000A2458" w:rsidRPr="00F377F7">
        <w:rPr>
          <w:color w:val="000000"/>
          <w:sz w:val="22"/>
          <w:szCs w:val="22"/>
        </w:rPr>
        <w:t xml:space="preserve"> </w:t>
      </w:r>
      <w:r w:rsidRPr="00F377F7">
        <w:rPr>
          <w:color w:val="000000"/>
          <w:sz w:val="22"/>
          <w:szCs w:val="22"/>
        </w:rPr>
        <w:t>or the candidate’s authorized committee,” unless the communication is intended to</w:t>
      </w:r>
      <w:r w:rsidR="000A2458" w:rsidRPr="00F377F7">
        <w:rPr>
          <w:color w:val="000000"/>
          <w:sz w:val="22"/>
          <w:szCs w:val="22"/>
        </w:rPr>
        <w:t xml:space="preserve"> </w:t>
      </w:r>
      <w:r w:rsidRPr="00F377F7">
        <w:rPr>
          <w:color w:val="000000"/>
          <w:sz w:val="22"/>
          <w:szCs w:val="22"/>
        </w:rPr>
        <w:t>advocate against the candidate’s election or otherwise meets another exception in</w:t>
      </w:r>
      <w:r w:rsidR="000A2458" w:rsidRPr="00F377F7">
        <w:rPr>
          <w:color w:val="000000"/>
          <w:sz w:val="22"/>
          <w:szCs w:val="22"/>
        </w:rPr>
        <w:t xml:space="preserve"> </w:t>
      </w:r>
      <w:r w:rsidRPr="00F377F7">
        <w:rPr>
          <w:color w:val="000000"/>
          <w:sz w:val="22"/>
          <w:szCs w:val="22"/>
        </w:rPr>
        <w:t>the regulation.</w:t>
      </w:r>
      <w:r w:rsidR="000A2458" w:rsidRPr="00F377F7">
        <w:rPr>
          <w:rStyle w:val="FootnoteReference"/>
          <w:color w:val="000000"/>
          <w:sz w:val="22"/>
          <w:szCs w:val="22"/>
        </w:rPr>
        <w:footnoteReference w:id="30"/>
      </w:r>
    </w:p>
    <w:p w:rsidR="000A2458" w:rsidRPr="00F377F7" w:rsidRDefault="000A2458" w:rsidP="00265186">
      <w:pPr>
        <w:autoSpaceDE w:val="0"/>
        <w:autoSpaceDN w:val="0"/>
        <w:adjustRightInd w:val="0"/>
        <w:rPr>
          <w:color w:val="000000"/>
          <w:sz w:val="22"/>
          <w:szCs w:val="22"/>
        </w:rPr>
      </w:pPr>
    </w:p>
    <w:p w:rsidR="00265186" w:rsidRPr="00F377F7" w:rsidRDefault="00265186" w:rsidP="00265186">
      <w:pPr>
        <w:autoSpaceDE w:val="0"/>
        <w:autoSpaceDN w:val="0"/>
        <w:adjustRightInd w:val="0"/>
        <w:rPr>
          <w:color w:val="000000"/>
          <w:sz w:val="22"/>
          <w:szCs w:val="22"/>
        </w:rPr>
      </w:pPr>
      <w:r w:rsidRPr="00F377F7">
        <w:rPr>
          <w:color w:val="000000"/>
          <w:sz w:val="22"/>
          <w:szCs w:val="22"/>
        </w:rPr>
        <w:t>The express addition of republication of a candidate’s campaign ma</w:t>
      </w:r>
      <w:r w:rsidR="000A2458" w:rsidRPr="00F377F7">
        <w:rPr>
          <w:color w:val="000000"/>
          <w:sz w:val="22"/>
          <w:szCs w:val="22"/>
        </w:rPr>
        <w:t xml:space="preserve">terials </w:t>
      </w:r>
      <w:r w:rsidRPr="00F377F7">
        <w:rPr>
          <w:color w:val="000000"/>
          <w:sz w:val="22"/>
          <w:szCs w:val="22"/>
        </w:rPr>
        <w:t>effectively would extend the proposed rule’s existing coverage of an expenditure for</w:t>
      </w:r>
      <w:r w:rsidR="000A2458" w:rsidRPr="00F377F7">
        <w:rPr>
          <w:color w:val="000000"/>
          <w:sz w:val="22"/>
          <w:szCs w:val="22"/>
        </w:rPr>
        <w:t xml:space="preserve"> </w:t>
      </w:r>
      <w:r w:rsidRPr="00F377F7">
        <w:rPr>
          <w:color w:val="000000"/>
          <w:sz w:val="22"/>
          <w:szCs w:val="22"/>
        </w:rPr>
        <w:t>which a candidate or candidate’s committee was involved in the “creation” or</w:t>
      </w:r>
      <w:r w:rsidR="000A2458" w:rsidRPr="00F377F7">
        <w:rPr>
          <w:color w:val="000000"/>
          <w:sz w:val="22"/>
          <w:szCs w:val="22"/>
        </w:rPr>
        <w:t xml:space="preserve"> </w:t>
      </w:r>
      <w:r w:rsidRPr="00F377F7">
        <w:rPr>
          <w:color w:val="000000"/>
          <w:sz w:val="22"/>
          <w:szCs w:val="22"/>
        </w:rPr>
        <w:t>“production,” under subsection 14.3.2. Accordingly, we recommend adding</w:t>
      </w:r>
      <w:r w:rsidR="000A2458" w:rsidRPr="00F377F7">
        <w:rPr>
          <w:color w:val="000000"/>
          <w:sz w:val="22"/>
          <w:szCs w:val="22"/>
        </w:rPr>
        <w:t xml:space="preserve"> </w:t>
      </w:r>
      <w:r w:rsidRPr="00F377F7">
        <w:rPr>
          <w:color w:val="000000"/>
          <w:sz w:val="22"/>
          <w:szCs w:val="22"/>
        </w:rPr>
        <w:t>republication as an example of a coordinated expenditure under subsection 14.3.</w:t>
      </w:r>
    </w:p>
    <w:p w:rsidR="00265186" w:rsidRPr="00F377F7" w:rsidRDefault="00265186" w:rsidP="00265186">
      <w:pPr>
        <w:autoSpaceDE w:val="0"/>
        <w:autoSpaceDN w:val="0"/>
        <w:adjustRightInd w:val="0"/>
        <w:rPr>
          <w:color w:val="000000"/>
          <w:sz w:val="22"/>
          <w:szCs w:val="22"/>
        </w:rPr>
      </w:pPr>
    </w:p>
    <w:p w:rsidR="00137DB0" w:rsidRPr="00F377F7" w:rsidRDefault="00137DB0" w:rsidP="00137DB0">
      <w:pPr>
        <w:autoSpaceDE w:val="0"/>
        <w:autoSpaceDN w:val="0"/>
        <w:adjustRightInd w:val="0"/>
        <w:rPr>
          <w:b/>
          <w:color w:val="000000"/>
          <w:sz w:val="22"/>
          <w:szCs w:val="22"/>
        </w:rPr>
      </w:pPr>
      <w:r w:rsidRPr="00F377F7">
        <w:rPr>
          <w:b/>
          <w:color w:val="000000"/>
          <w:sz w:val="22"/>
          <w:szCs w:val="22"/>
        </w:rPr>
        <w:t>RESPONSE:</w:t>
      </w:r>
    </w:p>
    <w:p w:rsidR="00137DB0" w:rsidRPr="00F377F7" w:rsidRDefault="00137DB0" w:rsidP="00137DB0">
      <w:pPr>
        <w:autoSpaceDE w:val="0"/>
        <w:autoSpaceDN w:val="0"/>
        <w:adjustRightInd w:val="0"/>
        <w:rPr>
          <w:color w:val="000000"/>
          <w:sz w:val="22"/>
          <w:szCs w:val="22"/>
        </w:rPr>
      </w:pPr>
    </w:p>
    <w:p w:rsidR="00AB6C4E" w:rsidRPr="00F377F7" w:rsidRDefault="005C723B" w:rsidP="00137DB0">
      <w:pPr>
        <w:autoSpaceDE w:val="0"/>
        <w:autoSpaceDN w:val="0"/>
        <w:adjustRightInd w:val="0"/>
        <w:rPr>
          <w:b/>
          <w:color w:val="000000"/>
          <w:sz w:val="22"/>
          <w:szCs w:val="22"/>
        </w:rPr>
      </w:pPr>
      <w:r w:rsidRPr="00F377F7">
        <w:rPr>
          <w:b/>
          <w:color w:val="000000"/>
          <w:sz w:val="22"/>
          <w:szCs w:val="22"/>
        </w:rPr>
        <w:t>The Legislature did not include “redistribution” in the definiti</w:t>
      </w:r>
      <w:r w:rsidR="00520C2D" w:rsidRPr="00F377F7">
        <w:rPr>
          <w:b/>
          <w:color w:val="000000"/>
          <w:sz w:val="22"/>
          <w:szCs w:val="22"/>
        </w:rPr>
        <w:t xml:space="preserve">on of “coordinated expenditures,” so no action </w:t>
      </w:r>
      <w:proofErr w:type="gramStart"/>
      <w:r w:rsidR="00520C2D" w:rsidRPr="00F377F7">
        <w:rPr>
          <w:b/>
          <w:color w:val="000000"/>
          <w:sz w:val="22"/>
          <w:szCs w:val="22"/>
        </w:rPr>
        <w:t>will be taken</w:t>
      </w:r>
      <w:proofErr w:type="gramEnd"/>
      <w:r w:rsidR="00520C2D" w:rsidRPr="00F377F7">
        <w:rPr>
          <w:b/>
          <w:color w:val="000000"/>
          <w:sz w:val="22"/>
          <w:szCs w:val="22"/>
        </w:rPr>
        <w:t>.</w:t>
      </w:r>
      <w:r w:rsidRPr="00F377F7">
        <w:rPr>
          <w:b/>
          <w:color w:val="000000"/>
          <w:sz w:val="22"/>
          <w:szCs w:val="22"/>
        </w:rPr>
        <w:t xml:space="preserve"> </w:t>
      </w:r>
    </w:p>
    <w:p w:rsidR="00137DB0" w:rsidRPr="00F377F7" w:rsidRDefault="00137DB0" w:rsidP="00265186">
      <w:pPr>
        <w:autoSpaceDE w:val="0"/>
        <w:autoSpaceDN w:val="0"/>
        <w:adjustRightInd w:val="0"/>
        <w:rPr>
          <w:color w:val="000000"/>
          <w:sz w:val="22"/>
          <w:szCs w:val="22"/>
        </w:rPr>
      </w:pPr>
    </w:p>
    <w:p w:rsidR="00265186" w:rsidRPr="00F377F7" w:rsidRDefault="00265186" w:rsidP="000A2458">
      <w:pPr>
        <w:pStyle w:val="ListParagraph"/>
        <w:numPr>
          <w:ilvl w:val="1"/>
          <w:numId w:val="3"/>
        </w:numPr>
        <w:autoSpaceDE w:val="0"/>
        <w:autoSpaceDN w:val="0"/>
        <w:adjustRightInd w:val="0"/>
        <w:rPr>
          <w:i/>
          <w:iCs/>
          <w:color w:val="000000"/>
          <w:sz w:val="22"/>
          <w:szCs w:val="22"/>
        </w:rPr>
      </w:pPr>
      <w:r w:rsidRPr="00F377F7">
        <w:rPr>
          <w:i/>
          <w:iCs/>
          <w:color w:val="000000"/>
          <w:sz w:val="22"/>
          <w:szCs w:val="22"/>
        </w:rPr>
        <w:t>Describing Requirements for Firewalls</w:t>
      </w:r>
    </w:p>
    <w:p w:rsidR="000A2458" w:rsidRPr="00F377F7" w:rsidRDefault="000A2458" w:rsidP="000A2458">
      <w:pPr>
        <w:pStyle w:val="ListParagraph"/>
        <w:autoSpaceDE w:val="0"/>
        <w:autoSpaceDN w:val="0"/>
        <w:adjustRightInd w:val="0"/>
        <w:ind w:left="1440"/>
        <w:rPr>
          <w:i/>
          <w:iCs/>
          <w:color w:val="000000"/>
          <w:sz w:val="22"/>
          <w:szCs w:val="22"/>
        </w:rPr>
      </w:pPr>
    </w:p>
    <w:p w:rsidR="00265186" w:rsidRPr="00F377F7" w:rsidRDefault="00265186" w:rsidP="00265186">
      <w:pPr>
        <w:autoSpaceDE w:val="0"/>
        <w:autoSpaceDN w:val="0"/>
        <w:adjustRightInd w:val="0"/>
        <w:rPr>
          <w:color w:val="000000"/>
          <w:sz w:val="22"/>
          <w:szCs w:val="22"/>
        </w:rPr>
      </w:pPr>
      <w:r w:rsidRPr="00F377F7">
        <w:rPr>
          <w:color w:val="000000"/>
          <w:sz w:val="22"/>
          <w:szCs w:val="22"/>
        </w:rPr>
        <w:t>In the Code’s new section on coordination, ad</w:t>
      </w:r>
      <w:r w:rsidR="000A2458" w:rsidRPr="00F377F7">
        <w:rPr>
          <w:color w:val="000000"/>
          <w:sz w:val="22"/>
          <w:szCs w:val="22"/>
        </w:rPr>
        <w:t xml:space="preserve">ded by S.B. 622, an expenditure </w:t>
      </w:r>
      <w:r w:rsidRPr="00F377F7">
        <w:rPr>
          <w:color w:val="000000"/>
          <w:sz w:val="22"/>
          <w:szCs w:val="22"/>
        </w:rPr>
        <w:t xml:space="preserve">otherwise qualifying as coordinated </w:t>
      </w:r>
      <w:proofErr w:type="gramStart"/>
      <w:r w:rsidRPr="00F377F7">
        <w:rPr>
          <w:color w:val="000000"/>
          <w:sz w:val="22"/>
          <w:szCs w:val="22"/>
        </w:rPr>
        <w:t>will not be treated</w:t>
      </w:r>
      <w:proofErr w:type="gramEnd"/>
      <w:r w:rsidRPr="00F377F7">
        <w:rPr>
          <w:color w:val="000000"/>
          <w:sz w:val="22"/>
          <w:szCs w:val="22"/>
        </w:rPr>
        <w:t xml:space="preserve"> as such if the person or entity</w:t>
      </w:r>
      <w:r w:rsidR="000A2458" w:rsidRPr="00F377F7">
        <w:rPr>
          <w:color w:val="000000"/>
          <w:sz w:val="22"/>
          <w:szCs w:val="22"/>
        </w:rPr>
        <w:t xml:space="preserve"> </w:t>
      </w:r>
      <w:r w:rsidRPr="00F377F7">
        <w:rPr>
          <w:color w:val="000000"/>
          <w:sz w:val="22"/>
          <w:szCs w:val="22"/>
        </w:rPr>
        <w:t>making the expenditure has implemented a “firewall” that meets certain</w:t>
      </w:r>
      <w:r w:rsidR="000A2458" w:rsidRPr="00F377F7">
        <w:rPr>
          <w:color w:val="000000"/>
          <w:sz w:val="22"/>
          <w:szCs w:val="22"/>
        </w:rPr>
        <w:t xml:space="preserve"> </w:t>
      </w:r>
      <w:r w:rsidR="000A7128" w:rsidRPr="00F377F7">
        <w:rPr>
          <w:color w:val="000000"/>
          <w:sz w:val="22"/>
          <w:szCs w:val="22"/>
        </w:rPr>
        <w:t>conditions.</w:t>
      </w:r>
      <w:r w:rsidR="000A7128" w:rsidRPr="00F377F7">
        <w:rPr>
          <w:rStyle w:val="FootnoteReference"/>
          <w:color w:val="000000"/>
          <w:sz w:val="22"/>
          <w:szCs w:val="22"/>
        </w:rPr>
        <w:footnoteReference w:id="31"/>
      </w:r>
      <w:r w:rsidRPr="00F377F7">
        <w:rPr>
          <w:color w:val="000000"/>
          <w:sz w:val="22"/>
          <w:szCs w:val="22"/>
        </w:rPr>
        <w:t xml:space="preserve"> Pursuant to the statutory exception, a firewall must: (i) “prohibit the</w:t>
      </w:r>
      <w:r w:rsidR="000A2458" w:rsidRPr="00F377F7">
        <w:rPr>
          <w:color w:val="000000"/>
          <w:sz w:val="22"/>
          <w:szCs w:val="22"/>
        </w:rPr>
        <w:t xml:space="preserve"> </w:t>
      </w:r>
      <w:r w:rsidRPr="00F377F7">
        <w:rPr>
          <w:color w:val="000000"/>
          <w:sz w:val="22"/>
          <w:szCs w:val="22"/>
        </w:rPr>
        <w:t>flow of information between employees or consultants providing services for the</w:t>
      </w:r>
      <w:r w:rsidR="000A2458" w:rsidRPr="00F377F7">
        <w:rPr>
          <w:color w:val="000000"/>
          <w:sz w:val="22"/>
          <w:szCs w:val="22"/>
        </w:rPr>
        <w:t xml:space="preserve"> </w:t>
      </w:r>
      <w:r w:rsidRPr="00F377F7">
        <w:rPr>
          <w:color w:val="000000"/>
          <w:sz w:val="22"/>
          <w:szCs w:val="22"/>
        </w:rPr>
        <w:t>person paying for the communication and those employees or consultants currently</w:t>
      </w:r>
      <w:r w:rsidR="000A2458" w:rsidRPr="00F377F7">
        <w:rPr>
          <w:color w:val="000000"/>
          <w:sz w:val="22"/>
          <w:szCs w:val="22"/>
        </w:rPr>
        <w:t xml:space="preserve"> </w:t>
      </w:r>
      <w:r w:rsidRPr="00F377F7">
        <w:rPr>
          <w:color w:val="000000"/>
          <w:sz w:val="22"/>
          <w:szCs w:val="22"/>
        </w:rPr>
        <w:t>or previously providing services to a candidate” supported by the expenditure; and</w:t>
      </w:r>
      <w:r w:rsidR="000A2458" w:rsidRPr="00F377F7">
        <w:rPr>
          <w:color w:val="000000"/>
          <w:sz w:val="22"/>
          <w:szCs w:val="22"/>
        </w:rPr>
        <w:t xml:space="preserve"> </w:t>
      </w:r>
      <w:r w:rsidRPr="00F377F7">
        <w:rPr>
          <w:color w:val="000000"/>
          <w:sz w:val="22"/>
          <w:szCs w:val="22"/>
        </w:rPr>
        <w:t>(ii) be memorialized in a written policy “distributed to all relevant employees,</w:t>
      </w:r>
    </w:p>
    <w:p w:rsidR="00265186" w:rsidRPr="00F377F7" w:rsidRDefault="00265186" w:rsidP="00265186">
      <w:pPr>
        <w:autoSpaceDE w:val="0"/>
        <w:autoSpaceDN w:val="0"/>
        <w:adjustRightInd w:val="0"/>
        <w:rPr>
          <w:color w:val="000000"/>
          <w:sz w:val="22"/>
          <w:szCs w:val="22"/>
        </w:rPr>
      </w:pPr>
      <w:proofErr w:type="gramStart"/>
      <w:r w:rsidRPr="00F377F7">
        <w:rPr>
          <w:color w:val="000000"/>
          <w:sz w:val="22"/>
          <w:szCs w:val="22"/>
        </w:rPr>
        <w:t>consultants</w:t>
      </w:r>
      <w:proofErr w:type="gramEnd"/>
      <w:r w:rsidRPr="00F377F7">
        <w:rPr>
          <w:color w:val="000000"/>
          <w:sz w:val="22"/>
          <w:szCs w:val="22"/>
        </w:rPr>
        <w:t>, and cl</w:t>
      </w:r>
      <w:r w:rsidR="000A7128" w:rsidRPr="00F377F7">
        <w:rPr>
          <w:color w:val="000000"/>
          <w:sz w:val="22"/>
          <w:szCs w:val="22"/>
        </w:rPr>
        <w:t>ients affected by the policy.”</w:t>
      </w:r>
      <w:r w:rsidR="000A7128" w:rsidRPr="00F377F7">
        <w:rPr>
          <w:rStyle w:val="FootnoteReference"/>
          <w:color w:val="000000"/>
          <w:sz w:val="22"/>
          <w:szCs w:val="22"/>
        </w:rPr>
        <w:footnoteReference w:id="32"/>
      </w:r>
    </w:p>
    <w:p w:rsidR="000A2458" w:rsidRPr="00F377F7" w:rsidRDefault="000A2458" w:rsidP="00265186">
      <w:pPr>
        <w:autoSpaceDE w:val="0"/>
        <w:autoSpaceDN w:val="0"/>
        <w:adjustRightInd w:val="0"/>
        <w:rPr>
          <w:color w:val="000000"/>
          <w:sz w:val="22"/>
          <w:szCs w:val="22"/>
        </w:rPr>
      </w:pPr>
    </w:p>
    <w:p w:rsidR="000A2458" w:rsidRPr="00F377F7" w:rsidRDefault="00265186" w:rsidP="00265186">
      <w:pPr>
        <w:autoSpaceDE w:val="0"/>
        <w:autoSpaceDN w:val="0"/>
        <w:adjustRightInd w:val="0"/>
        <w:rPr>
          <w:color w:val="000000"/>
          <w:sz w:val="22"/>
          <w:szCs w:val="22"/>
        </w:rPr>
      </w:pPr>
      <w:r w:rsidRPr="00F377F7">
        <w:rPr>
          <w:color w:val="000000"/>
          <w:sz w:val="22"/>
          <w:szCs w:val="22"/>
        </w:rPr>
        <w:t>The proposed rule does not describe th</w:t>
      </w:r>
      <w:r w:rsidR="000A2458" w:rsidRPr="00F377F7">
        <w:rPr>
          <w:color w:val="000000"/>
          <w:sz w:val="22"/>
          <w:szCs w:val="22"/>
        </w:rPr>
        <w:t xml:space="preserve">e requirements for implementing </w:t>
      </w:r>
      <w:r w:rsidRPr="00F377F7">
        <w:rPr>
          <w:color w:val="000000"/>
          <w:sz w:val="22"/>
          <w:szCs w:val="22"/>
        </w:rPr>
        <w:t>firewalls, beyond adding a definition of “firewall” in § 146-3-2.16. Thus, we</w:t>
      </w:r>
      <w:r w:rsidR="000A2458" w:rsidRPr="00F377F7">
        <w:rPr>
          <w:color w:val="000000"/>
          <w:sz w:val="22"/>
          <w:szCs w:val="22"/>
        </w:rPr>
        <w:t xml:space="preserve"> </w:t>
      </w:r>
      <w:r w:rsidRPr="00F377F7">
        <w:rPr>
          <w:color w:val="000000"/>
          <w:sz w:val="22"/>
          <w:szCs w:val="22"/>
        </w:rPr>
        <w:t>recommend clarifying the requirements for establishing firewalls in the proposed</w:t>
      </w:r>
      <w:r w:rsidR="000A2458" w:rsidRPr="00F377F7">
        <w:rPr>
          <w:color w:val="000000"/>
          <w:sz w:val="22"/>
          <w:szCs w:val="22"/>
        </w:rPr>
        <w:t xml:space="preserve"> </w:t>
      </w:r>
      <w:r w:rsidRPr="00F377F7">
        <w:rPr>
          <w:color w:val="000000"/>
          <w:sz w:val="22"/>
          <w:szCs w:val="22"/>
        </w:rPr>
        <w:t>rule. In addition to the firewall requirements outlined in the Code, the final rule</w:t>
      </w:r>
      <w:r w:rsidR="000A2458" w:rsidRPr="00F377F7">
        <w:rPr>
          <w:color w:val="000000"/>
          <w:sz w:val="22"/>
          <w:szCs w:val="22"/>
        </w:rPr>
        <w:t xml:space="preserve"> </w:t>
      </w:r>
      <w:r w:rsidRPr="00F377F7">
        <w:rPr>
          <w:color w:val="000000"/>
          <w:sz w:val="22"/>
          <w:szCs w:val="22"/>
        </w:rPr>
        <w:t>should include additional conditions for creating firewalls to ensure their</w:t>
      </w:r>
      <w:r w:rsidR="000A2458" w:rsidRPr="00F377F7">
        <w:rPr>
          <w:color w:val="000000"/>
          <w:sz w:val="22"/>
          <w:szCs w:val="22"/>
        </w:rPr>
        <w:t xml:space="preserve"> </w:t>
      </w:r>
      <w:r w:rsidRPr="00F377F7">
        <w:rPr>
          <w:color w:val="000000"/>
          <w:sz w:val="22"/>
          <w:szCs w:val="22"/>
        </w:rPr>
        <w:t xml:space="preserve">effectiveness. </w:t>
      </w:r>
      <w:proofErr w:type="gramStart"/>
      <w:r w:rsidRPr="00F377F7">
        <w:rPr>
          <w:color w:val="000000"/>
          <w:sz w:val="22"/>
          <w:szCs w:val="22"/>
        </w:rPr>
        <w:t>Specifically, the rule should require that a firewall: (i) separate staff</w:t>
      </w:r>
      <w:r w:rsidR="000A2458" w:rsidRPr="00F377F7">
        <w:rPr>
          <w:color w:val="000000"/>
          <w:sz w:val="22"/>
          <w:szCs w:val="22"/>
        </w:rPr>
        <w:t xml:space="preserve"> who provide a </w:t>
      </w:r>
      <w:r w:rsidRPr="00F377F7">
        <w:rPr>
          <w:color w:val="000000"/>
          <w:sz w:val="22"/>
          <w:szCs w:val="22"/>
        </w:rPr>
        <w:t>service related to any expenditure be</w:t>
      </w:r>
      <w:r w:rsidR="000A2458" w:rsidRPr="00F377F7">
        <w:rPr>
          <w:color w:val="000000"/>
          <w:sz w:val="22"/>
          <w:szCs w:val="22"/>
        </w:rPr>
        <w:t xml:space="preserve">nefiting a candidate from other </w:t>
      </w:r>
      <w:r w:rsidRPr="00F377F7">
        <w:rPr>
          <w:color w:val="000000"/>
          <w:sz w:val="22"/>
          <w:szCs w:val="22"/>
        </w:rPr>
        <w:t>staff who have engaged, or will engage, in any coordinated activity with that</w:t>
      </w:r>
      <w:r w:rsidR="000A2458" w:rsidRPr="00F377F7">
        <w:rPr>
          <w:color w:val="000000"/>
          <w:sz w:val="22"/>
          <w:szCs w:val="22"/>
        </w:rPr>
        <w:t xml:space="preserve"> </w:t>
      </w:r>
      <w:r w:rsidRPr="00F377F7">
        <w:rPr>
          <w:color w:val="000000"/>
          <w:sz w:val="22"/>
          <w:szCs w:val="22"/>
        </w:rPr>
        <w:t>candidate; (ii) prohibit a supervisor or manager from simultaneously overseeing the</w:t>
      </w:r>
      <w:r w:rsidR="000A2458" w:rsidRPr="00F377F7">
        <w:rPr>
          <w:color w:val="000000"/>
          <w:sz w:val="22"/>
          <w:szCs w:val="22"/>
        </w:rPr>
        <w:t xml:space="preserve"> </w:t>
      </w:r>
      <w:r w:rsidRPr="00F377F7">
        <w:rPr>
          <w:color w:val="000000"/>
          <w:sz w:val="22"/>
          <w:szCs w:val="22"/>
        </w:rPr>
        <w:t>work of staff members who</w:t>
      </w:r>
      <w:r w:rsidR="000A2458" w:rsidRPr="00F377F7">
        <w:rPr>
          <w:color w:val="000000"/>
          <w:sz w:val="22"/>
          <w:szCs w:val="22"/>
        </w:rPr>
        <w:t xml:space="preserve"> are separated by the firewall; </w:t>
      </w:r>
      <w:r w:rsidRPr="00F377F7">
        <w:rPr>
          <w:color w:val="000000"/>
          <w:sz w:val="22"/>
          <w:szCs w:val="22"/>
        </w:rPr>
        <w:t>and (iii) provide for</w:t>
      </w:r>
      <w:r w:rsidR="000A2458" w:rsidRPr="00F377F7">
        <w:rPr>
          <w:color w:val="000000"/>
          <w:sz w:val="22"/>
          <w:szCs w:val="22"/>
        </w:rPr>
        <w:t xml:space="preserve"> </w:t>
      </w:r>
      <w:r w:rsidRPr="00F377F7">
        <w:rPr>
          <w:color w:val="000000"/>
          <w:sz w:val="22"/>
          <w:szCs w:val="22"/>
        </w:rPr>
        <w:t xml:space="preserve">physical and technological separations to </w:t>
      </w:r>
      <w:r w:rsidR="000A2458" w:rsidRPr="00F377F7">
        <w:rPr>
          <w:color w:val="000000"/>
          <w:sz w:val="22"/>
          <w:szCs w:val="22"/>
        </w:rPr>
        <w:lastRenderedPageBreak/>
        <w:t>help ensure that strategic, non-</w:t>
      </w:r>
      <w:r w:rsidRPr="00F377F7">
        <w:rPr>
          <w:color w:val="000000"/>
          <w:sz w:val="22"/>
          <w:szCs w:val="22"/>
        </w:rPr>
        <w:t>public</w:t>
      </w:r>
      <w:r w:rsidR="000A2458" w:rsidRPr="00F377F7">
        <w:rPr>
          <w:color w:val="000000"/>
          <w:sz w:val="22"/>
          <w:szCs w:val="22"/>
        </w:rPr>
        <w:t xml:space="preserve"> </w:t>
      </w:r>
      <w:r w:rsidRPr="00F377F7">
        <w:rPr>
          <w:color w:val="000000"/>
          <w:sz w:val="22"/>
          <w:szCs w:val="22"/>
        </w:rPr>
        <w:t>information does not, in fact, pass to the candidate or to staff members separated by</w:t>
      </w:r>
      <w:r w:rsidR="000A2458" w:rsidRPr="00F377F7">
        <w:rPr>
          <w:color w:val="000000"/>
          <w:sz w:val="22"/>
          <w:szCs w:val="22"/>
        </w:rPr>
        <w:t xml:space="preserve"> </w:t>
      </w:r>
      <w:r w:rsidRPr="00F377F7">
        <w:rPr>
          <w:color w:val="000000"/>
          <w:sz w:val="22"/>
          <w:szCs w:val="22"/>
        </w:rPr>
        <w:t>the firewall.</w:t>
      </w:r>
      <w:proofErr w:type="gramEnd"/>
    </w:p>
    <w:p w:rsidR="000A2458" w:rsidRPr="00F377F7" w:rsidRDefault="000A2458" w:rsidP="00265186">
      <w:pPr>
        <w:autoSpaceDE w:val="0"/>
        <w:autoSpaceDN w:val="0"/>
        <w:adjustRightInd w:val="0"/>
        <w:rPr>
          <w:color w:val="000000"/>
          <w:sz w:val="22"/>
          <w:szCs w:val="22"/>
        </w:rPr>
      </w:pPr>
    </w:p>
    <w:p w:rsidR="00265186" w:rsidRPr="00F377F7" w:rsidRDefault="00265186" w:rsidP="00265186">
      <w:pPr>
        <w:autoSpaceDE w:val="0"/>
        <w:autoSpaceDN w:val="0"/>
        <w:adjustRightInd w:val="0"/>
        <w:rPr>
          <w:color w:val="000000"/>
          <w:sz w:val="22"/>
          <w:szCs w:val="22"/>
        </w:rPr>
      </w:pPr>
      <w:r w:rsidRPr="00F377F7">
        <w:rPr>
          <w:color w:val="000000"/>
          <w:sz w:val="22"/>
          <w:szCs w:val="22"/>
        </w:rPr>
        <w:t>The addition of strong firewall requirements in the rule will serve to prevent</w:t>
      </w:r>
    </w:p>
    <w:p w:rsidR="00265186" w:rsidRPr="00F377F7" w:rsidRDefault="00265186" w:rsidP="00265186">
      <w:pPr>
        <w:autoSpaceDE w:val="0"/>
        <w:autoSpaceDN w:val="0"/>
        <w:adjustRightInd w:val="0"/>
        <w:rPr>
          <w:color w:val="000000"/>
          <w:sz w:val="22"/>
          <w:szCs w:val="22"/>
        </w:rPr>
      </w:pPr>
      <w:proofErr w:type="gramStart"/>
      <w:r w:rsidRPr="00F377F7">
        <w:rPr>
          <w:color w:val="000000"/>
          <w:sz w:val="22"/>
          <w:szCs w:val="22"/>
        </w:rPr>
        <w:t>de</w:t>
      </w:r>
      <w:proofErr w:type="gramEnd"/>
      <w:r w:rsidRPr="00F377F7">
        <w:rPr>
          <w:color w:val="000000"/>
          <w:sz w:val="22"/>
          <w:szCs w:val="22"/>
        </w:rPr>
        <w:t xml:space="preserve"> facto coordination between candidates and outside groups making expenditures</w:t>
      </w:r>
    </w:p>
    <w:p w:rsidR="00265186" w:rsidRPr="00F377F7" w:rsidRDefault="00265186" w:rsidP="00265186">
      <w:pPr>
        <w:autoSpaceDE w:val="0"/>
        <w:autoSpaceDN w:val="0"/>
        <w:adjustRightInd w:val="0"/>
        <w:rPr>
          <w:color w:val="000000"/>
          <w:sz w:val="22"/>
          <w:szCs w:val="22"/>
        </w:rPr>
      </w:pPr>
      <w:proofErr w:type="gramStart"/>
      <w:r w:rsidRPr="00F377F7">
        <w:rPr>
          <w:color w:val="000000"/>
          <w:sz w:val="22"/>
          <w:szCs w:val="22"/>
        </w:rPr>
        <w:t>to</w:t>
      </w:r>
      <w:proofErr w:type="gramEnd"/>
      <w:r w:rsidRPr="00F377F7">
        <w:rPr>
          <w:color w:val="000000"/>
          <w:sz w:val="22"/>
          <w:szCs w:val="22"/>
        </w:rPr>
        <w:t xml:space="preserve"> support those candidates, as intended by S.B. 622. Accordingly, we recommend</w:t>
      </w:r>
    </w:p>
    <w:p w:rsidR="000A2458" w:rsidRPr="00F377F7" w:rsidRDefault="00265186" w:rsidP="00265186">
      <w:pPr>
        <w:autoSpaceDE w:val="0"/>
        <w:autoSpaceDN w:val="0"/>
        <w:adjustRightInd w:val="0"/>
        <w:rPr>
          <w:color w:val="000000"/>
          <w:sz w:val="22"/>
          <w:szCs w:val="22"/>
        </w:rPr>
      </w:pPr>
      <w:proofErr w:type="gramStart"/>
      <w:r w:rsidRPr="00F377F7">
        <w:rPr>
          <w:color w:val="000000"/>
          <w:sz w:val="22"/>
          <w:szCs w:val="22"/>
        </w:rPr>
        <w:t>the</w:t>
      </w:r>
      <w:proofErr w:type="gramEnd"/>
      <w:r w:rsidRPr="00F377F7">
        <w:rPr>
          <w:color w:val="000000"/>
          <w:sz w:val="22"/>
          <w:szCs w:val="22"/>
        </w:rPr>
        <w:t xml:space="preserve"> Secretary include requirements for establishi</w:t>
      </w:r>
      <w:r w:rsidR="000A2458" w:rsidRPr="00F377F7">
        <w:rPr>
          <w:color w:val="000000"/>
          <w:sz w:val="22"/>
          <w:szCs w:val="22"/>
        </w:rPr>
        <w:t>ng firewalls in the final rule.</w:t>
      </w:r>
    </w:p>
    <w:p w:rsidR="000A2458" w:rsidRPr="00F377F7" w:rsidRDefault="000A2458" w:rsidP="00265186">
      <w:pPr>
        <w:autoSpaceDE w:val="0"/>
        <w:autoSpaceDN w:val="0"/>
        <w:adjustRightInd w:val="0"/>
        <w:rPr>
          <w:color w:val="000000"/>
          <w:sz w:val="22"/>
          <w:szCs w:val="22"/>
        </w:rPr>
      </w:pPr>
    </w:p>
    <w:p w:rsidR="00137DB0" w:rsidRPr="00F377F7" w:rsidRDefault="00137DB0" w:rsidP="00137DB0">
      <w:pPr>
        <w:autoSpaceDE w:val="0"/>
        <w:autoSpaceDN w:val="0"/>
        <w:adjustRightInd w:val="0"/>
        <w:rPr>
          <w:b/>
          <w:color w:val="000000"/>
          <w:sz w:val="22"/>
          <w:szCs w:val="22"/>
        </w:rPr>
      </w:pPr>
      <w:r w:rsidRPr="00F377F7">
        <w:rPr>
          <w:b/>
          <w:color w:val="000000"/>
          <w:sz w:val="22"/>
          <w:szCs w:val="22"/>
        </w:rPr>
        <w:t>RESPONSE:</w:t>
      </w:r>
    </w:p>
    <w:p w:rsidR="00137DB0" w:rsidRPr="00F377F7" w:rsidRDefault="00137DB0" w:rsidP="00137DB0">
      <w:pPr>
        <w:autoSpaceDE w:val="0"/>
        <w:autoSpaceDN w:val="0"/>
        <w:adjustRightInd w:val="0"/>
        <w:rPr>
          <w:color w:val="000000"/>
          <w:sz w:val="22"/>
          <w:szCs w:val="22"/>
        </w:rPr>
      </w:pPr>
    </w:p>
    <w:p w:rsidR="00AB6C4E" w:rsidRPr="00F377F7" w:rsidRDefault="00AB6C4E" w:rsidP="00137DB0">
      <w:pPr>
        <w:autoSpaceDE w:val="0"/>
        <w:autoSpaceDN w:val="0"/>
        <w:adjustRightInd w:val="0"/>
        <w:rPr>
          <w:b/>
          <w:color w:val="000000"/>
          <w:sz w:val="22"/>
          <w:szCs w:val="22"/>
        </w:rPr>
      </w:pPr>
      <w:r w:rsidRPr="00F377F7">
        <w:rPr>
          <w:b/>
          <w:color w:val="000000"/>
          <w:sz w:val="22"/>
          <w:szCs w:val="22"/>
        </w:rPr>
        <w:t xml:space="preserve">The Rule </w:t>
      </w:r>
      <w:proofErr w:type="gramStart"/>
      <w:r w:rsidRPr="00F377F7">
        <w:rPr>
          <w:b/>
          <w:color w:val="000000"/>
          <w:sz w:val="22"/>
          <w:szCs w:val="22"/>
        </w:rPr>
        <w:t>will be amended</w:t>
      </w:r>
      <w:proofErr w:type="gramEnd"/>
      <w:r w:rsidRPr="00F377F7">
        <w:rPr>
          <w:b/>
          <w:color w:val="000000"/>
          <w:sz w:val="22"/>
          <w:szCs w:val="22"/>
        </w:rPr>
        <w:t xml:space="preserve"> to include the commenter’s suggestions that are consistent with the Federal Election Commission’s regulations and guidance.</w:t>
      </w:r>
    </w:p>
    <w:p w:rsidR="00137DB0" w:rsidRPr="00F377F7" w:rsidRDefault="00137DB0" w:rsidP="00265186">
      <w:pPr>
        <w:autoSpaceDE w:val="0"/>
        <w:autoSpaceDN w:val="0"/>
        <w:adjustRightInd w:val="0"/>
        <w:rPr>
          <w:color w:val="000000"/>
          <w:sz w:val="22"/>
          <w:szCs w:val="22"/>
        </w:rPr>
      </w:pPr>
    </w:p>
    <w:p w:rsidR="00265186" w:rsidRPr="00F377F7" w:rsidRDefault="00265186" w:rsidP="000A2458">
      <w:pPr>
        <w:pStyle w:val="ListParagraph"/>
        <w:numPr>
          <w:ilvl w:val="0"/>
          <w:numId w:val="3"/>
        </w:numPr>
        <w:autoSpaceDE w:val="0"/>
        <w:autoSpaceDN w:val="0"/>
        <w:adjustRightInd w:val="0"/>
        <w:rPr>
          <w:color w:val="000000"/>
          <w:sz w:val="22"/>
          <w:szCs w:val="22"/>
        </w:rPr>
      </w:pPr>
      <w:r w:rsidRPr="00F377F7">
        <w:rPr>
          <w:b/>
          <w:bCs/>
          <w:color w:val="000000"/>
          <w:sz w:val="22"/>
          <w:szCs w:val="22"/>
        </w:rPr>
        <w:t>Minor &amp; Technical Corrections</w:t>
      </w:r>
    </w:p>
    <w:p w:rsidR="000A7128" w:rsidRPr="00F377F7" w:rsidRDefault="000A7128" w:rsidP="00265186">
      <w:pPr>
        <w:autoSpaceDE w:val="0"/>
        <w:autoSpaceDN w:val="0"/>
        <w:adjustRightInd w:val="0"/>
        <w:rPr>
          <w:i/>
          <w:iCs/>
          <w:color w:val="000000"/>
          <w:sz w:val="22"/>
          <w:szCs w:val="22"/>
        </w:rPr>
      </w:pPr>
    </w:p>
    <w:p w:rsidR="000A7128" w:rsidRPr="00F377F7" w:rsidRDefault="00265186" w:rsidP="00265186">
      <w:pPr>
        <w:pStyle w:val="ListParagraph"/>
        <w:numPr>
          <w:ilvl w:val="1"/>
          <w:numId w:val="3"/>
        </w:numPr>
        <w:autoSpaceDE w:val="0"/>
        <w:autoSpaceDN w:val="0"/>
        <w:adjustRightInd w:val="0"/>
        <w:rPr>
          <w:color w:val="000000"/>
          <w:sz w:val="22"/>
          <w:szCs w:val="22"/>
        </w:rPr>
      </w:pPr>
      <w:r w:rsidRPr="00F377F7">
        <w:rPr>
          <w:i/>
          <w:iCs/>
          <w:color w:val="000000"/>
          <w:sz w:val="22"/>
          <w:szCs w:val="22"/>
        </w:rPr>
        <w:t xml:space="preserve">§ 146-3-2.6. </w:t>
      </w:r>
    </w:p>
    <w:p w:rsidR="000A7128" w:rsidRPr="00F377F7" w:rsidRDefault="000A7128" w:rsidP="000A7128">
      <w:pPr>
        <w:autoSpaceDE w:val="0"/>
        <w:autoSpaceDN w:val="0"/>
        <w:adjustRightInd w:val="0"/>
        <w:rPr>
          <w:color w:val="000000"/>
          <w:sz w:val="22"/>
          <w:szCs w:val="22"/>
        </w:rPr>
      </w:pPr>
    </w:p>
    <w:p w:rsidR="00265186" w:rsidRPr="00F377F7" w:rsidRDefault="00265186" w:rsidP="00265186">
      <w:pPr>
        <w:autoSpaceDE w:val="0"/>
        <w:autoSpaceDN w:val="0"/>
        <w:adjustRightInd w:val="0"/>
        <w:rPr>
          <w:color w:val="000000"/>
          <w:sz w:val="22"/>
          <w:szCs w:val="22"/>
        </w:rPr>
      </w:pPr>
      <w:r w:rsidRPr="00F377F7">
        <w:rPr>
          <w:color w:val="000000"/>
          <w:sz w:val="22"/>
          <w:szCs w:val="22"/>
        </w:rPr>
        <w:t>In the proposed rule’s definition of “caucus campaign committee,”</w:t>
      </w:r>
      <w:r w:rsidR="000A7128" w:rsidRPr="00F377F7">
        <w:rPr>
          <w:color w:val="000000"/>
          <w:sz w:val="22"/>
          <w:szCs w:val="22"/>
        </w:rPr>
        <w:t xml:space="preserve"> </w:t>
      </w:r>
      <w:r w:rsidRPr="00F377F7">
        <w:rPr>
          <w:color w:val="000000"/>
          <w:sz w:val="22"/>
          <w:szCs w:val="22"/>
        </w:rPr>
        <w:t xml:space="preserve">the meaning of the clause </w:t>
      </w:r>
      <w:proofErr w:type="gramStart"/>
      <w:r w:rsidRPr="00F377F7">
        <w:rPr>
          <w:color w:val="000000"/>
          <w:sz w:val="22"/>
          <w:szCs w:val="22"/>
        </w:rPr>
        <w:t>stating</w:t>
      </w:r>
      <w:proofErr w:type="gramEnd"/>
      <w:r w:rsidRPr="00F377F7">
        <w:rPr>
          <w:color w:val="000000"/>
          <w:sz w:val="22"/>
          <w:szCs w:val="22"/>
        </w:rPr>
        <w:t xml:space="preserve"> “which include to support or oppose one or</w:t>
      </w:r>
      <w:r w:rsidR="000A7128" w:rsidRPr="00F377F7">
        <w:rPr>
          <w:color w:val="000000"/>
          <w:sz w:val="22"/>
          <w:szCs w:val="22"/>
        </w:rPr>
        <w:t xml:space="preserve"> </w:t>
      </w:r>
      <w:r w:rsidRPr="00F377F7">
        <w:rPr>
          <w:color w:val="000000"/>
          <w:sz w:val="22"/>
          <w:szCs w:val="22"/>
        </w:rPr>
        <w:t>more candidates or slates of candidates for nomination, election, or</w:t>
      </w:r>
      <w:r w:rsidR="000A7128" w:rsidRPr="00F377F7">
        <w:rPr>
          <w:color w:val="000000"/>
          <w:sz w:val="22"/>
          <w:szCs w:val="22"/>
        </w:rPr>
        <w:t xml:space="preserve"> </w:t>
      </w:r>
      <w:r w:rsidRPr="00F377F7">
        <w:rPr>
          <w:color w:val="000000"/>
          <w:sz w:val="22"/>
          <w:szCs w:val="22"/>
        </w:rPr>
        <w:t>committee membership” is uncertain.</w:t>
      </w:r>
    </w:p>
    <w:p w:rsidR="000A7128" w:rsidRPr="00F377F7" w:rsidRDefault="000A7128" w:rsidP="00265186">
      <w:pPr>
        <w:autoSpaceDE w:val="0"/>
        <w:autoSpaceDN w:val="0"/>
        <w:adjustRightInd w:val="0"/>
        <w:rPr>
          <w:color w:val="000000"/>
          <w:sz w:val="22"/>
          <w:szCs w:val="22"/>
        </w:rPr>
      </w:pPr>
    </w:p>
    <w:p w:rsidR="00137DB0" w:rsidRPr="00F377F7" w:rsidRDefault="00137DB0" w:rsidP="00137DB0">
      <w:pPr>
        <w:autoSpaceDE w:val="0"/>
        <w:autoSpaceDN w:val="0"/>
        <w:adjustRightInd w:val="0"/>
        <w:rPr>
          <w:b/>
          <w:color w:val="000000"/>
          <w:sz w:val="22"/>
          <w:szCs w:val="22"/>
        </w:rPr>
      </w:pPr>
      <w:r w:rsidRPr="00F377F7">
        <w:rPr>
          <w:b/>
          <w:color w:val="000000"/>
          <w:sz w:val="22"/>
          <w:szCs w:val="22"/>
        </w:rPr>
        <w:t>RESPONSE:</w:t>
      </w:r>
    </w:p>
    <w:p w:rsidR="00137DB0" w:rsidRPr="00F377F7" w:rsidRDefault="00137DB0" w:rsidP="00137DB0">
      <w:pPr>
        <w:autoSpaceDE w:val="0"/>
        <w:autoSpaceDN w:val="0"/>
        <w:adjustRightInd w:val="0"/>
        <w:rPr>
          <w:color w:val="000000"/>
          <w:sz w:val="22"/>
          <w:szCs w:val="22"/>
        </w:rPr>
      </w:pPr>
    </w:p>
    <w:p w:rsidR="00AB6C4E" w:rsidRPr="00F377F7" w:rsidRDefault="003E50B1" w:rsidP="00265186">
      <w:pPr>
        <w:autoSpaceDE w:val="0"/>
        <w:autoSpaceDN w:val="0"/>
        <w:adjustRightInd w:val="0"/>
        <w:rPr>
          <w:b/>
          <w:color w:val="000000"/>
          <w:sz w:val="22"/>
          <w:szCs w:val="22"/>
        </w:rPr>
      </w:pPr>
      <w:r w:rsidRPr="00F377F7">
        <w:rPr>
          <w:b/>
          <w:color w:val="000000"/>
          <w:sz w:val="22"/>
          <w:szCs w:val="22"/>
        </w:rPr>
        <w:t xml:space="preserve">The subject clause in </w:t>
      </w:r>
      <w:r w:rsidR="006E337C" w:rsidRPr="00F377F7">
        <w:rPr>
          <w:b/>
          <w:color w:val="000000"/>
          <w:sz w:val="22"/>
          <w:szCs w:val="22"/>
        </w:rPr>
        <w:t xml:space="preserve">question for </w:t>
      </w:r>
      <w:r w:rsidRPr="00F377F7">
        <w:rPr>
          <w:b/>
          <w:color w:val="000000"/>
          <w:sz w:val="22"/>
          <w:szCs w:val="22"/>
        </w:rPr>
        <w:t xml:space="preserve">this definition </w:t>
      </w:r>
      <w:proofErr w:type="gramStart"/>
      <w:r w:rsidRPr="00F377F7">
        <w:rPr>
          <w:b/>
          <w:color w:val="000000"/>
          <w:sz w:val="22"/>
          <w:szCs w:val="22"/>
        </w:rPr>
        <w:t>is mirrored</w:t>
      </w:r>
      <w:proofErr w:type="gramEnd"/>
      <w:r w:rsidRPr="00F377F7">
        <w:rPr>
          <w:b/>
          <w:color w:val="000000"/>
          <w:sz w:val="22"/>
          <w:szCs w:val="22"/>
        </w:rPr>
        <w:t xml:space="preserve"> after </w:t>
      </w:r>
      <w:r w:rsidR="006E337C" w:rsidRPr="00F377F7">
        <w:rPr>
          <w:b/>
          <w:color w:val="000000"/>
          <w:sz w:val="22"/>
          <w:szCs w:val="22"/>
        </w:rPr>
        <w:t xml:space="preserve">the definition of a “political action committee,” and </w:t>
      </w:r>
      <w:r w:rsidRPr="00F377F7">
        <w:rPr>
          <w:b/>
          <w:color w:val="000000"/>
          <w:sz w:val="22"/>
          <w:szCs w:val="22"/>
        </w:rPr>
        <w:t>similar clauses for electioneering communication and independen</w:t>
      </w:r>
      <w:r w:rsidR="006E337C" w:rsidRPr="00F377F7">
        <w:rPr>
          <w:b/>
          <w:color w:val="000000"/>
          <w:sz w:val="22"/>
          <w:szCs w:val="22"/>
        </w:rPr>
        <w:t>t expenditure committees</w:t>
      </w:r>
      <w:r w:rsidRPr="00F377F7">
        <w:rPr>
          <w:b/>
          <w:color w:val="000000"/>
          <w:sz w:val="22"/>
          <w:szCs w:val="22"/>
        </w:rPr>
        <w:t>.</w:t>
      </w:r>
      <w:r w:rsidR="00BE0DD1" w:rsidRPr="00F377F7">
        <w:rPr>
          <w:b/>
          <w:color w:val="000000"/>
          <w:sz w:val="22"/>
          <w:szCs w:val="22"/>
        </w:rPr>
        <w:t xml:space="preserve"> Section 2.6 details what</w:t>
      </w:r>
      <w:r w:rsidR="00EA44EA" w:rsidRPr="00F377F7">
        <w:rPr>
          <w:b/>
          <w:color w:val="000000"/>
          <w:sz w:val="22"/>
          <w:szCs w:val="22"/>
        </w:rPr>
        <w:t xml:space="preserve"> constitutes a campaign caucus committee and </w:t>
      </w:r>
      <w:proofErr w:type="gramStart"/>
      <w:r w:rsidR="00EA44EA" w:rsidRPr="00F377F7">
        <w:rPr>
          <w:b/>
          <w:color w:val="000000"/>
          <w:sz w:val="22"/>
          <w:szCs w:val="22"/>
        </w:rPr>
        <w:t>is sufficiently detailed</w:t>
      </w:r>
      <w:proofErr w:type="gramEnd"/>
      <w:r w:rsidR="00EA44EA" w:rsidRPr="00F377F7">
        <w:rPr>
          <w:b/>
          <w:color w:val="000000"/>
          <w:sz w:val="22"/>
          <w:szCs w:val="22"/>
        </w:rPr>
        <w:t xml:space="preserve"> to prevent uncertainty. No action </w:t>
      </w:r>
      <w:proofErr w:type="gramStart"/>
      <w:r w:rsidR="00EA44EA" w:rsidRPr="00F377F7">
        <w:rPr>
          <w:b/>
          <w:color w:val="000000"/>
          <w:sz w:val="22"/>
          <w:szCs w:val="22"/>
        </w:rPr>
        <w:t>will be taken</w:t>
      </w:r>
      <w:proofErr w:type="gramEnd"/>
      <w:r w:rsidR="00EA44EA" w:rsidRPr="00F377F7">
        <w:rPr>
          <w:b/>
          <w:color w:val="000000"/>
          <w:sz w:val="22"/>
          <w:szCs w:val="22"/>
        </w:rPr>
        <w:t>.</w:t>
      </w:r>
      <w:r w:rsidR="006E337C" w:rsidRPr="00F377F7">
        <w:rPr>
          <w:b/>
          <w:color w:val="000000"/>
          <w:sz w:val="22"/>
          <w:szCs w:val="22"/>
        </w:rPr>
        <w:t xml:space="preserve"> </w:t>
      </w:r>
    </w:p>
    <w:p w:rsidR="006E337C" w:rsidRPr="00F377F7" w:rsidRDefault="006E337C" w:rsidP="00265186">
      <w:pPr>
        <w:autoSpaceDE w:val="0"/>
        <w:autoSpaceDN w:val="0"/>
        <w:adjustRightInd w:val="0"/>
        <w:rPr>
          <w:b/>
          <w:color w:val="000000"/>
          <w:sz w:val="22"/>
          <w:szCs w:val="22"/>
        </w:rPr>
      </w:pPr>
    </w:p>
    <w:p w:rsidR="000A7128" w:rsidRPr="00F377F7" w:rsidRDefault="00265186" w:rsidP="000A7128">
      <w:pPr>
        <w:pStyle w:val="ListParagraph"/>
        <w:numPr>
          <w:ilvl w:val="1"/>
          <w:numId w:val="3"/>
        </w:numPr>
        <w:autoSpaceDE w:val="0"/>
        <w:autoSpaceDN w:val="0"/>
        <w:adjustRightInd w:val="0"/>
        <w:rPr>
          <w:color w:val="000000"/>
          <w:sz w:val="22"/>
          <w:szCs w:val="22"/>
        </w:rPr>
      </w:pPr>
      <w:r w:rsidRPr="00F377F7">
        <w:rPr>
          <w:i/>
          <w:iCs/>
          <w:color w:val="000000"/>
          <w:sz w:val="22"/>
          <w:szCs w:val="22"/>
        </w:rPr>
        <w:t>§ 146-3-2.2</w:t>
      </w:r>
      <w:r w:rsidR="008F63FF">
        <w:rPr>
          <w:i/>
          <w:iCs/>
          <w:color w:val="000000"/>
          <w:sz w:val="22"/>
          <w:szCs w:val="22"/>
        </w:rPr>
        <w:t>8</w:t>
      </w:r>
      <w:r w:rsidRPr="00F377F7">
        <w:rPr>
          <w:i/>
          <w:iCs/>
          <w:color w:val="000000"/>
          <w:sz w:val="22"/>
          <w:szCs w:val="22"/>
        </w:rPr>
        <w:t xml:space="preserve">.3. </w:t>
      </w:r>
    </w:p>
    <w:p w:rsidR="000A7128" w:rsidRPr="00F377F7" w:rsidRDefault="000A7128" w:rsidP="00265186">
      <w:pPr>
        <w:autoSpaceDE w:val="0"/>
        <w:autoSpaceDN w:val="0"/>
        <w:adjustRightInd w:val="0"/>
        <w:rPr>
          <w:color w:val="000000"/>
          <w:sz w:val="22"/>
          <w:szCs w:val="22"/>
        </w:rPr>
      </w:pPr>
    </w:p>
    <w:p w:rsidR="00265186" w:rsidRPr="00F377F7" w:rsidRDefault="00265186" w:rsidP="00265186">
      <w:pPr>
        <w:autoSpaceDE w:val="0"/>
        <w:autoSpaceDN w:val="0"/>
        <w:adjustRightInd w:val="0"/>
        <w:rPr>
          <w:color w:val="000000"/>
          <w:sz w:val="22"/>
          <w:szCs w:val="22"/>
        </w:rPr>
      </w:pPr>
      <w:r w:rsidRPr="00F377F7">
        <w:rPr>
          <w:color w:val="000000"/>
          <w:sz w:val="22"/>
          <w:szCs w:val="22"/>
        </w:rPr>
        <w:t>The subsection’s specification that “this provision does not act</w:t>
      </w:r>
      <w:r w:rsidR="000A7128" w:rsidRPr="00F377F7">
        <w:rPr>
          <w:color w:val="000000"/>
          <w:sz w:val="22"/>
          <w:szCs w:val="22"/>
        </w:rPr>
        <w:t xml:space="preserve"> </w:t>
      </w:r>
      <w:r w:rsidRPr="00F377F7">
        <w:rPr>
          <w:color w:val="000000"/>
          <w:sz w:val="22"/>
          <w:szCs w:val="22"/>
        </w:rPr>
        <w:t>in contrary to the reporting requirements”</w:t>
      </w:r>
      <w:r w:rsidR="000A7128" w:rsidRPr="00F377F7">
        <w:rPr>
          <w:color w:val="000000"/>
          <w:sz w:val="22"/>
          <w:szCs w:val="22"/>
        </w:rPr>
        <w:t xml:space="preserve"> in state law seems intended to </w:t>
      </w:r>
      <w:r w:rsidRPr="00F377F7">
        <w:rPr>
          <w:color w:val="000000"/>
          <w:sz w:val="22"/>
          <w:szCs w:val="22"/>
        </w:rPr>
        <w:t>clarify that joint fundraising committees are not exempt from disclosure.</w:t>
      </w:r>
      <w:r w:rsidR="000A7128" w:rsidRPr="00F377F7">
        <w:rPr>
          <w:color w:val="000000"/>
          <w:sz w:val="22"/>
          <w:szCs w:val="22"/>
        </w:rPr>
        <w:t xml:space="preserve"> </w:t>
      </w:r>
      <w:r w:rsidRPr="00F377F7">
        <w:rPr>
          <w:color w:val="000000"/>
          <w:sz w:val="22"/>
          <w:szCs w:val="22"/>
        </w:rPr>
        <w:t>However, the wording of the subsection—especially “this provision does not</w:t>
      </w:r>
      <w:r w:rsidR="000A7128" w:rsidRPr="00F377F7">
        <w:rPr>
          <w:color w:val="000000"/>
          <w:sz w:val="22"/>
          <w:szCs w:val="22"/>
        </w:rPr>
        <w:t xml:space="preserve"> </w:t>
      </w:r>
      <w:r w:rsidRPr="00F377F7">
        <w:rPr>
          <w:i/>
          <w:iCs/>
          <w:color w:val="000000"/>
          <w:sz w:val="22"/>
          <w:szCs w:val="22"/>
        </w:rPr>
        <w:t xml:space="preserve">act in contrary </w:t>
      </w:r>
      <w:r w:rsidRPr="00F377F7">
        <w:rPr>
          <w:color w:val="000000"/>
          <w:sz w:val="22"/>
          <w:szCs w:val="22"/>
        </w:rPr>
        <w:t>to the reporting requirements”—makes its purpose less clear.</w:t>
      </w:r>
    </w:p>
    <w:p w:rsidR="000A7128" w:rsidRPr="00F377F7" w:rsidRDefault="000A7128" w:rsidP="00265186">
      <w:pPr>
        <w:autoSpaceDE w:val="0"/>
        <w:autoSpaceDN w:val="0"/>
        <w:adjustRightInd w:val="0"/>
        <w:rPr>
          <w:color w:val="000000"/>
          <w:sz w:val="22"/>
          <w:szCs w:val="22"/>
        </w:rPr>
      </w:pPr>
    </w:p>
    <w:p w:rsidR="00137DB0" w:rsidRPr="00F377F7" w:rsidRDefault="00137DB0" w:rsidP="00137DB0">
      <w:pPr>
        <w:autoSpaceDE w:val="0"/>
        <w:autoSpaceDN w:val="0"/>
        <w:adjustRightInd w:val="0"/>
        <w:rPr>
          <w:b/>
          <w:color w:val="000000"/>
          <w:sz w:val="22"/>
          <w:szCs w:val="22"/>
        </w:rPr>
      </w:pPr>
      <w:r w:rsidRPr="00F377F7">
        <w:rPr>
          <w:b/>
          <w:color w:val="000000"/>
          <w:sz w:val="22"/>
          <w:szCs w:val="22"/>
        </w:rPr>
        <w:t>RESPONSE:</w:t>
      </w:r>
    </w:p>
    <w:p w:rsidR="00137DB0" w:rsidRPr="00F377F7" w:rsidRDefault="00137DB0" w:rsidP="00137DB0">
      <w:pPr>
        <w:autoSpaceDE w:val="0"/>
        <w:autoSpaceDN w:val="0"/>
        <w:adjustRightInd w:val="0"/>
        <w:rPr>
          <w:color w:val="000000"/>
          <w:sz w:val="22"/>
          <w:szCs w:val="22"/>
        </w:rPr>
      </w:pPr>
    </w:p>
    <w:p w:rsidR="008D6841" w:rsidRPr="00F377F7" w:rsidRDefault="008D6841" w:rsidP="00137DB0">
      <w:pPr>
        <w:autoSpaceDE w:val="0"/>
        <w:autoSpaceDN w:val="0"/>
        <w:adjustRightInd w:val="0"/>
        <w:rPr>
          <w:b/>
          <w:color w:val="000000"/>
          <w:sz w:val="22"/>
          <w:szCs w:val="22"/>
        </w:rPr>
      </w:pPr>
      <w:r w:rsidRPr="00F377F7">
        <w:rPr>
          <w:b/>
          <w:color w:val="000000"/>
          <w:sz w:val="22"/>
          <w:szCs w:val="22"/>
        </w:rPr>
        <w:t xml:space="preserve">The Rule </w:t>
      </w:r>
      <w:proofErr w:type="gramStart"/>
      <w:r w:rsidRPr="00F377F7">
        <w:rPr>
          <w:b/>
          <w:color w:val="000000"/>
          <w:sz w:val="22"/>
          <w:szCs w:val="22"/>
        </w:rPr>
        <w:t>will be amended</w:t>
      </w:r>
      <w:proofErr w:type="gramEnd"/>
      <w:r w:rsidRPr="00F377F7">
        <w:rPr>
          <w:b/>
          <w:color w:val="000000"/>
          <w:sz w:val="22"/>
          <w:szCs w:val="22"/>
        </w:rPr>
        <w:t xml:space="preserve"> to account for the commenter’s suggestion.</w:t>
      </w:r>
    </w:p>
    <w:p w:rsidR="00137DB0" w:rsidRPr="00F377F7" w:rsidRDefault="00137DB0" w:rsidP="00265186">
      <w:pPr>
        <w:autoSpaceDE w:val="0"/>
        <w:autoSpaceDN w:val="0"/>
        <w:adjustRightInd w:val="0"/>
        <w:rPr>
          <w:color w:val="000000"/>
          <w:sz w:val="22"/>
          <w:szCs w:val="22"/>
        </w:rPr>
      </w:pPr>
    </w:p>
    <w:p w:rsidR="000A7128" w:rsidRPr="00F377F7" w:rsidRDefault="00265186" w:rsidP="000A7128">
      <w:pPr>
        <w:pStyle w:val="ListParagraph"/>
        <w:numPr>
          <w:ilvl w:val="1"/>
          <w:numId w:val="3"/>
        </w:numPr>
        <w:autoSpaceDE w:val="0"/>
        <w:autoSpaceDN w:val="0"/>
        <w:adjustRightInd w:val="0"/>
        <w:rPr>
          <w:color w:val="000000"/>
          <w:sz w:val="22"/>
          <w:szCs w:val="22"/>
        </w:rPr>
      </w:pPr>
      <w:r w:rsidRPr="00F377F7">
        <w:rPr>
          <w:i/>
          <w:iCs/>
          <w:color w:val="000000"/>
          <w:sz w:val="22"/>
          <w:szCs w:val="22"/>
        </w:rPr>
        <w:t>§ 146-3-4.2.</w:t>
      </w:r>
    </w:p>
    <w:p w:rsidR="000A7128" w:rsidRPr="00F377F7" w:rsidRDefault="000A7128" w:rsidP="000A7128">
      <w:pPr>
        <w:autoSpaceDE w:val="0"/>
        <w:autoSpaceDN w:val="0"/>
        <w:adjustRightInd w:val="0"/>
        <w:rPr>
          <w:color w:val="000000"/>
          <w:sz w:val="22"/>
          <w:szCs w:val="22"/>
        </w:rPr>
      </w:pPr>
    </w:p>
    <w:p w:rsidR="00265186" w:rsidRPr="00F377F7" w:rsidRDefault="00265186" w:rsidP="00265186">
      <w:pPr>
        <w:autoSpaceDE w:val="0"/>
        <w:autoSpaceDN w:val="0"/>
        <w:adjustRightInd w:val="0"/>
        <w:rPr>
          <w:color w:val="000000"/>
          <w:sz w:val="22"/>
          <w:szCs w:val="22"/>
        </w:rPr>
      </w:pPr>
      <w:r w:rsidRPr="00F377F7">
        <w:rPr>
          <w:color w:val="000000"/>
          <w:sz w:val="22"/>
          <w:szCs w:val="22"/>
        </w:rPr>
        <w:t>This subsection explains that a contribution received by a</w:t>
      </w:r>
      <w:r w:rsidR="000A7128" w:rsidRPr="00F377F7">
        <w:rPr>
          <w:color w:val="000000"/>
          <w:sz w:val="22"/>
          <w:szCs w:val="22"/>
        </w:rPr>
        <w:t xml:space="preserve"> </w:t>
      </w:r>
      <w:r w:rsidRPr="00F377F7">
        <w:rPr>
          <w:color w:val="000000"/>
          <w:sz w:val="22"/>
          <w:szCs w:val="22"/>
        </w:rPr>
        <w:t>political action committee is made “in connection” with a general election if it</w:t>
      </w:r>
      <w:r w:rsidR="000A7128" w:rsidRPr="00F377F7">
        <w:rPr>
          <w:color w:val="000000"/>
          <w:sz w:val="22"/>
          <w:szCs w:val="22"/>
        </w:rPr>
        <w:t xml:space="preserve"> </w:t>
      </w:r>
      <w:r w:rsidRPr="00F377F7">
        <w:rPr>
          <w:color w:val="000000"/>
          <w:sz w:val="22"/>
          <w:szCs w:val="22"/>
        </w:rPr>
        <w:t>is received after a statewide primary and “not later than the day of the</w:t>
      </w:r>
      <w:r w:rsidR="000A7128" w:rsidRPr="00F377F7">
        <w:rPr>
          <w:color w:val="000000"/>
          <w:sz w:val="22"/>
          <w:szCs w:val="22"/>
        </w:rPr>
        <w:t xml:space="preserve"> </w:t>
      </w:r>
      <w:r w:rsidRPr="00F377F7">
        <w:rPr>
          <w:color w:val="000000"/>
          <w:sz w:val="22"/>
          <w:szCs w:val="22"/>
        </w:rPr>
        <w:t>General Election (for example, from May 13, 2016 to January 1, 2017).” In</w:t>
      </w:r>
      <w:r w:rsidR="000A7128" w:rsidRPr="00F377F7">
        <w:rPr>
          <w:color w:val="000000"/>
          <w:sz w:val="22"/>
          <w:szCs w:val="22"/>
        </w:rPr>
        <w:t xml:space="preserve"> </w:t>
      </w:r>
      <w:r w:rsidRPr="00F377F7">
        <w:rPr>
          <w:color w:val="000000"/>
          <w:sz w:val="22"/>
          <w:szCs w:val="22"/>
        </w:rPr>
        <w:t>the parenthetical example, the general election date should be in November,</w:t>
      </w:r>
      <w:r w:rsidR="000A7128" w:rsidRPr="00F377F7">
        <w:rPr>
          <w:color w:val="000000"/>
          <w:sz w:val="22"/>
          <w:szCs w:val="22"/>
        </w:rPr>
        <w:t xml:space="preserve"> </w:t>
      </w:r>
      <w:r w:rsidRPr="00F377F7">
        <w:rPr>
          <w:color w:val="000000"/>
          <w:sz w:val="22"/>
          <w:szCs w:val="22"/>
        </w:rPr>
        <w:t>rather than in January.</w:t>
      </w:r>
    </w:p>
    <w:p w:rsidR="000A7128" w:rsidRPr="00F377F7" w:rsidRDefault="000A7128" w:rsidP="00265186">
      <w:pPr>
        <w:autoSpaceDE w:val="0"/>
        <w:autoSpaceDN w:val="0"/>
        <w:adjustRightInd w:val="0"/>
        <w:rPr>
          <w:color w:val="000000"/>
          <w:sz w:val="22"/>
          <w:szCs w:val="22"/>
        </w:rPr>
      </w:pPr>
    </w:p>
    <w:p w:rsidR="00137DB0" w:rsidRPr="00F377F7" w:rsidRDefault="00137DB0" w:rsidP="00137DB0">
      <w:pPr>
        <w:autoSpaceDE w:val="0"/>
        <w:autoSpaceDN w:val="0"/>
        <w:adjustRightInd w:val="0"/>
        <w:rPr>
          <w:b/>
          <w:color w:val="000000"/>
          <w:sz w:val="22"/>
          <w:szCs w:val="22"/>
        </w:rPr>
      </w:pPr>
      <w:r w:rsidRPr="00F377F7">
        <w:rPr>
          <w:b/>
          <w:color w:val="000000"/>
          <w:sz w:val="22"/>
          <w:szCs w:val="22"/>
        </w:rPr>
        <w:t>RESPONSE:</w:t>
      </w:r>
    </w:p>
    <w:p w:rsidR="00137DB0" w:rsidRPr="00F377F7" w:rsidRDefault="00137DB0" w:rsidP="00137DB0">
      <w:pPr>
        <w:autoSpaceDE w:val="0"/>
        <w:autoSpaceDN w:val="0"/>
        <w:adjustRightInd w:val="0"/>
        <w:rPr>
          <w:color w:val="000000"/>
          <w:sz w:val="22"/>
          <w:szCs w:val="22"/>
        </w:rPr>
      </w:pPr>
    </w:p>
    <w:p w:rsidR="008D6841" w:rsidRPr="00F377F7" w:rsidRDefault="008D6841" w:rsidP="008D6841">
      <w:pPr>
        <w:autoSpaceDE w:val="0"/>
        <w:autoSpaceDN w:val="0"/>
        <w:adjustRightInd w:val="0"/>
        <w:rPr>
          <w:b/>
          <w:color w:val="000000"/>
          <w:sz w:val="22"/>
          <w:szCs w:val="22"/>
        </w:rPr>
      </w:pPr>
      <w:r w:rsidRPr="00F377F7">
        <w:rPr>
          <w:b/>
          <w:color w:val="000000"/>
          <w:sz w:val="22"/>
          <w:szCs w:val="22"/>
        </w:rPr>
        <w:t xml:space="preserve">The Rule </w:t>
      </w:r>
      <w:proofErr w:type="gramStart"/>
      <w:r w:rsidRPr="00F377F7">
        <w:rPr>
          <w:b/>
          <w:color w:val="000000"/>
          <w:sz w:val="22"/>
          <w:szCs w:val="22"/>
        </w:rPr>
        <w:t>will be amended</w:t>
      </w:r>
      <w:proofErr w:type="gramEnd"/>
      <w:r w:rsidRPr="00F377F7">
        <w:rPr>
          <w:b/>
          <w:color w:val="000000"/>
          <w:sz w:val="22"/>
          <w:szCs w:val="22"/>
        </w:rPr>
        <w:t xml:space="preserve"> to account for the commenter’s suggestion.</w:t>
      </w:r>
    </w:p>
    <w:p w:rsidR="00137DB0" w:rsidRPr="00F377F7" w:rsidRDefault="00137DB0" w:rsidP="00265186">
      <w:pPr>
        <w:autoSpaceDE w:val="0"/>
        <w:autoSpaceDN w:val="0"/>
        <w:adjustRightInd w:val="0"/>
        <w:rPr>
          <w:color w:val="000000"/>
          <w:sz w:val="22"/>
          <w:szCs w:val="22"/>
        </w:rPr>
      </w:pPr>
    </w:p>
    <w:p w:rsidR="000A7128" w:rsidRPr="00F377F7" w:rsidRDefault="00265186" w:rsidP="000A7128">
      <w:pPr>
        <w:pStyle w:val="ListParagraph"/>
        <w:numPr>
          <w:ilvl w:val="1"/>
          <w:numId w:val="3"/>
        </w:numPr>
        <w:autoSpaceDE w:val="0"/>
        <w:autoSpaceDN w:val="0"/>
        <w:adjustRightInd w:val="0"/>
        <w:rPr>
          <w:color w:val="000000"/>
          <w:sz w:val="22"/>
          <w:szCs w:val="22"/>
        </w:rPr>
      </w:pPr>
      <w:r w:rsidRPr="00F377F7">
        <w:rPr>
          <w:i/>
          <w:iCs/>
          <w:color w:val="000000"/>
          <w:sz w:val="22"/>
          <w:szCs w:val="22"/>
        </w:rPr>
        <w:t>§ 146-3-7.2</w:t>
      </w:r>
      <w:r w:rsidR="000A7128" w:rsidRPr="00F377F7">
        <w:rPr>
          <w:i/>
          <w:iCs/>
          <w:color w:val="000000"/>
          <w:sz w:val="22"/>
          <w:szCs w:val="22"/>
        </w:rPr>
        <w:t>.7.</w:t>
      </w:r>
    </w:p>
    <w:p w:rsidR="000A7128" w:rsidRPr="00F377F7" w:rsidRDefault="000A7128" w:rsidP="000A7128">
      <w:pPr>
        <w:autoSpaceDE w:val="0"/>
        <w:autoSpaceDN w:val="0"/>
        <w:adjustRightInd w:val="0"/>
        <w:rPr>
          <w:color w:val="000000"/>
          <w:sz w:val="22"/>
          <w:szCs w:val="22"/>
        </w:rPr>
      </w:pPr>
    </w:p>
    <w:p w:rsidR="00265186" w:rsidRPr="00F377F7" w:rsidRDefault="00265186" w:rsidP="00265186">
      <w:pPr>
        <w:autoSpaceDE w:val="0"/>
        <w:autoSpaceDN w:val="0"/>
        <w:adjustRightInd w:val="0"/>
        <w:rPr>
          <w:color w:val="000000"/>
          <w:sz w:val="22"/>
          <w:szCs w:val="22"/>
        </w:rPr>
      </w:pPr>
      <w:r w:rsidRPr="00F377F7">
        <w:rPr>
          <w:color w:val="000000"/>
          <w:sz w:val="22"/>
          <w:szCs w:val="22"/>
        </w:rPr>
        <w:t xml:space="preserve">This subsection instructs that “excess campaign assets” </w:t>
      </w:r>
      <w:proofErr w:type="gramStart"/>
      <w:r w:rsidRPr="00F377F7">
        <w:rPr>
          <w:color w:val="000000"/>
          <w:sz w:val="22"/>
          <w:szCs w:val="22"/>
        </w:rPr>
        <w:t>may be</w:t>
      </w:r>
      <w:r w:rsidR="000A7128" w:rsidRPr="00F377F7">
        <w:rPr>
          <w:color w:val="000000"/>
          <w:sz w:val="22"/>
          <w:szCs w:val="22"/>
        </w:rPr>
        <w:t xml:space="preserve"> </w:t>
      </w:r>
      <w:r w:rsidRPr="00F377F7">
        <w:rPr>
          <w:color w:val="000000"/>
          <w:sz w:val="22"/>
          <w:szCs w:val="22"/>
        </w:rPr>
        <w:t>contributed</w:t>
      </w:r>
      <w:proofErr w:type="gramEnd"/>
      <w:r w:rsidRPr="00F377F7">
        <w:rPr>
          <w:color w:val="000000"/>
          <w:sz w:val="22"/>
          <w:szCs w:val="22"/>
        </w:rPr>
        <w:t xml:space="preserve"> to a national, state, or local party committee “when that</w:t>
      </w:r>
      <w:r w:rsidR="000A7128" w:rsidRPr="00F377F7">
        <w:rPr>
          <w:color w:val="000000"/>
          <w:sz w:val="22"/>
          <w:szCs w:val="22"/>
        </w:rPr>
        <w:t xml:space="preserve"> </w:t>
      </w:r>
      <w:r w:rsidRPr="00F377F7">
        <w:rPr>
          <w:color w:val="000000"/>
          <w:sz w:val="22"/>
          <w:szCs w:val="22"/>
        </w:rPr>
        <w:t>committee is acting in the role of a vendor.” However, transfers to political</w:t>
      </w:r>
      <w:r w:rsidR="000A7128" w:rsidRPr="00F377F7">
        <w:rPr>
          <w:color w:val="000000"/>
          <w:sz w:val="22"/>
          <w:szCs w:val="22"/>
        </w:rPr>
        <w:t xml:space="preserve"> </w:t>
      </w:r>
      <w:r w:rsidRPr="00F377F7">
        <w:rPr>
          <w:color w:val="000000"/>
          <w:sz w:val="22"/>
          <w:szCs w:val="22"/>
        </w:rPr>
        <w:t>party committees acting as vendors are no</w:t>
      </w:r>
      <w:r w:rsidR="000A7128" w:rsidRPr="00F377F7">
        <w:rPr>
          <w:color w:val="000000"/>
          <w:sz w:val="22"/>
          <w:szCs w:val="22"/>
        </w:rPr>
        <w:t xml:space="preserve">t among the permissible uses of </w:t>
      </w:r>
      <w:r w:rsidRPr="00F377F7">
        <w:rPr>
          <w:color w:val="000000"/>
          <w:sz w:val="22"/>
          <w:szCs w:val="22"/>
        </w:rPr>
        <w:t>excess campaign funds under § 3-8-10 of th</w:t>
      </w:r>
      <w:r w:rsidR="000A7128" w:rsidRPr="00F377F7">
        <w:rPr>
          <w:color w:val="000000"/>
          <w:sz w:val="22"/>
          <w:szCs w:val="22"/>
        </w:rPr>
        <w:t xml:space="preserve">e Code. This subsection instead </w:t>
      </w:r>
      <w:r w:rsidRPr="00F377F7">
        <w:rPr>
          <w:color w:val="000000"/>
          <w:sz w:val="22"/>
          <w:szCs w:val="22"/>
        </w:rPr>
        <w:t>seems to belong within § 146-3-6 of the proposed rule, which concerns lawful</w:t>
      </w:r>
      <w:r w:rsidR="000A7128" w:rsidRPr="00F377F7">
        <w:rPr>
          <w:color w:val="000000"/>
          <w:sz w:val="22"/>
          <w:szCs w:val="22"/>
        </w:rPr>
        <w:t xml:space="preserve"> </w:t>
      </w:r>
      <w:r w:rsidRPr="00F377F7">
        <w:rPr>
          <w:color w:val="000000"/>
          <w:sz w:val="22"/>
          <w:szCs w:val="22"/>
        </w:rPr>
        <w:t>e</w:t>
      </w:r>
      <w:r w:rsidR="000A7128" w:rsidRPr="00F377F7">
        <w:rPr>
          <w:color w:val="000000"/>
          <w:sz w:val="22"/>
          <w:szCs w:val="22"/>
        </w:rPr>
        <w:t>xpenditures during a campaign.</w:t>
      </w:r>
      <w:r w:rsidR="000A7128" w:rsidRPr="00F377F7">
        <w:rPr>
          <w:rStyle w:val="FootnoteReference"/>
          <w:color w:val="000000"/>
          <w:sz w:val="22"/>
          <w:szCs w:val="22"/>
        </w:rPr>
        <w:footnoteReference w:id="33"/>
      </w:r>
    </w:p>
    <w:p w:rsidR="000A7128" w:rsidRPr="00F377F7" w:rsidRDefault="000A7128" w:rsidP="00265186">
      <w:pPr>
        <w:autoSpaceDE w:val="0"/>
        <w:autoSpaceDN w:val="0"/>
        <w:adjustRightInd w:val="0"/>
        <w:rPr>
          <w:color w:val="000000"/>
          <w:sz w:val="22"/>
          <w:szCs w:val="22"/>
        </w:rPr>
      </w:pPr>
    </w:p>
    <w:p w:rsidR="00137DB0" w:rsidRPr="00F377F7" w:rsidRDefault="00137DB0" w:rsidP="00137DB0">
      <w:pPr>
        <w:autoSpaceDE w:val="0"/>
        <w:autoSpaceDN w:val="0"/>
        <w:adjustRightInd w:val="0"/>
        <w:rPr>
          <w:b/>
          <w:color w:val="000000"/>
          <w:sz w:val="22"/>
          <w:szCs w:val="22"/>
        </w:rPr>
      </w:pPr>
      <w:r w:rsidRPr="00F377F7">
        <w:rPr>
          <w:b/>
          <w:color w:val="000000"/>
          <w:sz w:val="22"/>
          <w:szCs w:val="22"/>
        </w:rPr>
        <w:t>RESPONSE:</w:t>
      </w:r>
    </w:p>
    <w:p w:rsidR="00137DB0" w:rsidRPr="00F377F7" w:rsidRDefault="00137DB0" w:rsidP="00137DB0">
      <w:pPr>
        <w:autoSpaceDE w:val="0"/>
        <w:autoSpaceDN w:val="0"/>
        <w:adjustRightInd w:val="0"/>
        <w:rPr>
          <w:color w:val="000000"/>
          <w:sz w:val="22"/>
          <w:szCs w:val="22"/>
        </w:rPr>
      </w:pPr>
    </w:p>
    <w:p w:rsidR="008D6841" w:rsidRPr="00F377F7" w:rsidRDefault="008D6841" w:rsidP="008D6841">
      <w:pPr>
        <w:autoSpaceDE w:val="0"/>
        <w:autoSpaceDN w:val="0"/>
        <w:adjustRightInd w:val="0"/>
        <w:rPr>
          <w:b/>
          <w:color w:val="000000"/>
          <w:sz w:val="22"/>
          <w:szCs w:val="22"/>
        </w:rPr>
      </w:pPr>
      <w:r w:rsidRPr="00F377F7">
        <w:rPr>
          <w:b/>
          <w:color w:val="000000"/>
          <w:sz w:val="22"/>
          <w:szCs w:val="22"/>
        </w:rPr>
        <w:t xml:space="preserve">The Rule </w:t>
      </w:r>
      <w:proofErr w:type="gramStart"/>
      <w:r w:rsidRPr="00F377F7">
        <w:rPr>
          <w:b/>
          <w:color w:val="000000"/>
          <w:sz w:val="22"/>
          <w:szCs w:val="22"/>
        </w:rPr>
        <w:t>will be amended</w:t>
      </w:r>
      <w:proofErr w:type="gramEnd"/>
      <w:r w:rsidRPr="00F377F7">
        <w:rPr>
          <w:b/>
          <w:color w:val="000000"/>
          <w:sz w:val="22"/>
          <w:szCs w:val="22"/>
        </w:rPr>
        <w:t xml:space="preserve"> to account for the commenter’s suggestion.</w:t>
      </w:r>
    </w:p>
    <w:p w:rsidR="00137DB0" w:rsidRPr="00F377F7" w:rsidRDefault="00137DB0" w:rsidP="00265186">
      <w:pPr>
        <w:autoSpaceDE w:val="0"/>
        <w:autoSpaceDN w:val="0"/>
        <w:adjustRightInd w:val="0"/>
        <w:rPr>
          <w:color w:val="000000"/>
          <w:sz w:val="22"/>
          <w:szCs w:val="22"/>
        </w:rPr>
      </w:pPr>
    </w:p>
    <w:p w:rsidR="000A7128" w:rsidRPr="00F377F7" w:rsidRDefault="00265186" w:rsidP="000A7128">
      <w:pPr>
        <w:pStyle w:val="ListParagraph"/>
        <w:numPr>
          <w:ilvl w:val="1"/>
          <w:numId w:val="3"/>
        </w:numPr>
        <w:autoSpaceDE w:val="0"/>
        <w:autoSpaceDN w:val="0"/>
        <w:adjustRightInd w:val="0"/>
        <w:rPr>
          <w:color w:val="000000"/>
          <w:sz w:val="22"/>
          <w:szCs w:val="22"/>
        </w:rPr>
      </w:pPr>
      <w:r w:rsidRPr="00F377F7">
        <w:rPr>
          <w:i/>
          <w:iCs/>
          <w:color w:val="000000"/>
          <w:sz w:val="22"/>
          <w:szCs w:val="22"/>
        </w:rPr>
        <w:t>§ 146-3-7.5.1.</w:t>
      </w:r>
    </w:p>
    <w:p w:rsidR="000A7128" w:rsidRPr="00F377F7" w:rsidRDefault="000A7128" w:rsidP="000A7128">
      <w:pPr>
        <w:autoSpaceDE w:val="0"/>
        <w:autoSpaceDN w:val="0"/>
        <w:adjustRightInd w:val="0"/>
        <w:rPr>
          <w:color w:val="000000"/>
          <w:sz w:val="22"/>
          <w:szCs w:val="22"/>
        </w:rPr>
      </w:pPr>
    </w:p>
    <w:p w:rsidR="00265186" w:rsidRPr="00F377F7" w:rsidRDefault="00265186" w:rsidP="00265186">
      <w:pPr>
        <w:autoSpaceDE w:val="0"/>
        <w:autoSpaceDN w:val="0"/>
        <w:adjustRightInd w:val="0"/>
        <w:rPr>
          <w:color w:val="000000"/>
          <w:sz w:val="22"/>
          <w:szCs w:val="22"/>
        </w:rPr>
      </w:pPr>
      <w:r w:rsidRPr="00F377F7">
        <w:rPr>
          <w:color w:val="000000"/>
          <w:sz w:val="22"/>
          <w:szCs w:val="22"/>
        </w:rPr>
        <w:t>This subsection refers to filing a final report under §3-3-5 of the</w:t>
      </w:r>
      <w:r w:rsidR="000A7128" w:rsidRPr="00F377F7">
        <w:rPr>
          <w:color w:val="000000"/>
          <w:sz w:val="22"/>
          <w:szCs w:val="22"/>
        </w:rPr>
        <w:t xml:space="preserve"> </w:t>
      </w:r>
      <w:r w:rsidRPr="00F377F7">
        <w:rPr>
          <w:color w:val="000000"/>
          <w:sz w:val="22"/>
          <w:szCs w:val="22"/>
        </w:rPr>
        <w:t>Code. The reference to that section of the Code appears to be mistaken, as §</w:t>
      </w:r>
      <w:r w:rsidR="000A7128" w:rsidRPr="00F377F7">
        <w:rPr>
          <w:color w:val="000000"/>
          <w:sz w:val="22"/>
          <w:szCs w:val="22"/>
        </w:rPr>
        <w:t xml:space="preserve"> </w:t>
      </w:r>
      <w:r w:rsidRPr="00F377F7">
        <w:rPr>
          <w:color w:val="000000"/>
          <w:sz w:val="22"/>
          <w:szCs w:val="22"/>
        </w:rPr>
        <w:t>3-3-5 concerns absentee ballots and is not part of the article governing</w:t>
      </w:r>
      <w:r w:rsidR="000A7128" w:rsidRPr="00F377F7">
        <w:rPr>
          <w:color w:val="000000"/>
          <w:sz w:val="22"/>
          <w:szCs w:val="22"/>
        </w:rPr>
        <w:t xml:space="preserve"> </w:t>
      </w:r>
      <w:r w:rsidRPr="00F377F7">
        <w:rPr>
          <w:color w:val="000000"/>
          <w:sz w:val="22"/>
          <w:szCs w:val="22"/>
        </w:rPr>
        <w:t>campaign finance.</w:t>
      </w:r>
    </w:p>
    <w:p w:rsidR="000A7128" w:rsidRPr="00F377F7" w:rsidRDefault="000A7128" w:rsidP="00265186">
      <w:pPr>
        <w:autoSpaceDE w:val="0"/>
        <w:autoSpaceDN w:val="0"/>
        <w:adjustRightInd w:val="0"/>
        <w:rPr>
          <w:color w:val="000000"/>
          <w:sz w:val="22"/>
          <w:szCs w:val="22"/>
        </w:rPr>
      </w:pPr>
    </w:p>
    <w:p w:rsidR="00137DB0" w:rsidRPr="00F377F7" w:rsidRDefault="00137DB0" w:rsidP="00137DB0">
      <w:pPr>
        <w:autoSpaceDE w:val="0"/>
        <w:autoSpaceDN w:val="0"/>
        <w:adjustRightInd w:val="0"/>
        <w:rPr>
          <w:b/>
          <w:color w:val="000000"/>
          <w:sz w:val="22"/>
          <w:szCs w:val="22"/>
        </w:rPr>
      </w:pPr>
      <w:r w:rsidRPr="00F377F7">
        <w:rPr>
          <w:b/>
          <w:color w:val="000000"/>
          <w:sz w:val="22"/>
          <w:szCs w:val="22"/>
        </w:rPr>
        <w:t>RESPONSE:</w:t>
      </w:r>
    </w:p>
    <w:p w:rsidR="00137DB0" w:rsidRPr="00F377F7" w:rsidRDefault="00137DB0" w:rsidP="00137DB0">
      <w:pPr>
        <w:autoSpaceDE w:val="0"/>
        <w:autoSpaceDN w:val="0"/>
        <w:adjustRightInd w:val="0"/>
        <w:rPr>
          <w:color w:val="000000"/>
          <w:sz w:val="22"/>
          <w:szCs w:val="22"/>
        </w:rPr>
      </w:pPr>
    </w:p>
    <w:p w:rsidR="008D6841" w:rsidRPr="00F377F7" w:rsidRDefault="008D6841" w:rsidP="008D6841">
      <w:pPr>
        <w:autoSpaceDE w:val="0"/>
        <w:autoSpaceDN w:val="0"/>
        <w:adjustRightInd w:val="0"/>
        <w:rPr>
          <w:b/>
          <w:color w:val="000000"/>
          <w:sz w:val="22"/>
          <w:szCs w:val="22"/>
        </w:rPr>
      </w:pPr>
      <w:r w:rsidRPr="00F377F7">
        <w:rPr>
          <w:b/>
          <w:color w:val="000000"/>
          <w:sz w:val="22"/>
          <w:szCs w:val="22"/>
        </w:rPr>
        <w:t xml:space="preserve">The Rule will be amended to </w:t>
      </w:r>
      <w:r w:rsidR="00E736A2" w:rsidRPr="00F377F7">
        <w:rPr>
          <w:b/>
          <w:color w:val="000000"/>
          <w:sz w:val="22"/>
          <w:szCs w:val="22"/>
        </w:rPr>
        <w:t>provide</w:t>
      </w:r>
      <w:r w:rsidRPr="00F377F7">
        <w:rPr>
          <w:b/>
          <w:color w:val="000000"/>
          <w:sz w:val="22"/>
          <w:szCs w:val="22"/>
        </w:rPr>
        <w:t xml:space="preserve"> W. Va. Code § 3-8-5 in place of § 3-3-5.</w:t>
      </w:r>
    </w:p>
    <w:p w:rsidR="00137DB0" w:rsidRPr="00F377F7" w:rsidRDefault="00137DB0" w:rsidP="00265186">
      <w:pPr>
        <w:autoSpaceDE w:val="0"/>
        <w:autoSpaceDN w:val="0"/>
        <w:adjustRightInd w:val="0"/>
        <w:rPr>
          <w:color w:val="000000"/>
          <w:sz w:val="22"/>
          <w:szCs w:val="22"/>
        </w:rPr>
      </w:pPr>
    </w:p>
    <w:p w:rsidR="000A7128" w:rsidRPr="00F377F7" w:rsidRDefault="00265186" w:rsidP="000A7128">
      <w:pPr>
        <w:pStyle w:val="ListParagraph"/>
        <w:numPr>
          <w:ilvl w:val="1"/>
          <w:numId w:val="3"/>
        </w:numPr>
        <w:autoSpaceDE w:val="0"/>
        <w:autoSpaceDN w:val="0"/>
        <w:adjustRightInd w:val="0"/>
        <w:rPr>
          <w:color w:val="000000"/>
          <w:sz w:val="22"/>
          <w:szCs w:val="22"/>
        </w:rPr>
      </w:pPr>
      <w:r w:rsidRPr="00F377F7">
        <w:rPr>
          <w:i/>
          <w:iCs/>
          <w:color w:val="000000"/>
          <w:sz w:val="22"/>
          <w:szCs w:val="22"/>
        </w:rPr>
        <w:t>§ 146-3-8.3.</w:t>
      </w:r>
    </w:p>
    <w:p w:rsidR="000A7128" w:rsidRPr="00F377F7" w:rsidRDefault="000A7128" w:rsidP="000A7128">
      <w:pPr>
        <w:autoSpaceDE w:val="0"/>
        <w:autoSpaceDN w:val="0"/>
        <w:adjustRightInd w:val="0"/>
        <w:rPr>
          <w:color w:val="000000"/>
          <w:sz w:val="22"/>
          <w:szCs w:val="22"/>
        </w:rPr>
      </w:pPr>
    </w:p>
    <w:p w:rsidR="00265186" w:rsidRPr="00F377F7" w:rsidRDefault="00265186" w:rsidP="00265186">
      <w:pPr>
        <w:autoSpaceDE w:val="0"/>
        <w:autoSpaceDN w:val="0"/>
        <w:adjustRightInd w:val="0"/>
        <w:rPr>
          <w:color w:val="000000"/>
          <w:sz w:val="22"/>
          <w:szCs w:val="22"/>
        </w:rPr>
      </w:pPr>
      <w:r w:rsidRPr="00F377F7">
        <w:rPr>
          <w:color w:val="000000"/>
          <w:sz w:val="22"/>
          <w:szCs w:val="22"/>
        </w:rPr>
        <w:t>This subsection explains that candidates, treasurers, and other</w:t>
      </w:r>
      <w:r w:rsidR="000A7128" w:rsidRPr="00F377F7">
        <w:rPr>
          <w:color w:val="000000"/>
          <w:sz w:val="22"/>
          <w:szCs w:val="22"/>
        </w:rPr>
        <w:t xml:space="preserve"> </w:t>
      </w:r>
      <w:r w:rsidRPr="00F377F7">
        <w:rPr>
          <w:color w:val="000000"/>
          <w:sz w:val="22"/>
          <w:szCs w:val="22"/>
        </w:rPr>
        <w:t>persons “engaging in other activities permitted by 3-8-5a and 3-8-5b” must</w:t>
      </w:r>
      <w:r w:rsidR="000A7128" w:rsidRPr="00F377F7">
        <w:rPr>
          <w:color w:val="000000"/>
          <w:sz w:val="22"/>
          <w:szCs w:val="22"/>
        </w:rPr>
        <w:t xml:space="preserve"> </w:t>
      </w:r>
      <w:r w:rsidRPr="00F377F7">
        <w:rPr>
          <w:color w:val="000000"/>
          <w:sz w:val="22"/>
          <w:szCs w:val="22"/>
        </w:rPr>
        <w:t>keep detailed records of their contributions and expenditures. Since both §3-8-5a and § 3-8-5b concern reporting requirements, the subsection likely would</w:t>
      </w:r>
      <w:r w:rsidR="000A7128" w:rsidRPr="00F377F7">
        <w:rPr>
          <w:color w:val="000000"/>
          <w:sz w:val="22"/>
          <w:szCs w:val="22"/>
        </w:rPr>
        <w:t xml:space="preserve"> </w:t>
      </w:r>
      <w:r w:rsidRPr="00F377F7">
        <w:rPr>
          <w:color w:val="000000"/>
          <w:sz w:val="22"/>
          <w:szCs w:val="22"/>
        </w:rPr>
        <w:t>be more clear if it instead said, “Every candidate, treasurer, person,</w:t>
      </w:r>
      <w:r w:rsidR="000A7128" w:rsidRPr="00F377F7">
        <w:rPr>
          <w:color w:val="000000"/>
          <w:sz w:val="22"/>
          <w:szCs w:val="22"/>
        </w:rPr>
        <w:t xml:space="preserve"> </w:t>
      </w:r>
      <w:r w:rsidRPr="00F377F7">
        <w:rPr>
          <w:color w:val="000000"/>
          <w:sz w:val="22"/>
          <w:szCs w:val="22"/>
        </w:rPr>
        <w:t>association of persons, organization, or corporation supporting a political</w:t>
      </w:r>
      <w:r w:rsidR="000A7128" w:rsidRPr="00F377F7">
        <w:rPr>
          <w:color w:val="000000"/>
          <w:sz w:val="22"/>
          <w:szCs w:val="22"/>
        </w:rPr>
        <w:t xml:space="preserve"> </w:t>
      </w:r>
      <w:r w:rsidRPr="00F377F7">
        <w:rPr>
          <w:color w:val="000000"/>
          <w:sz w:val="22"/>
          <w:szCs w:val="22"/>
        </w:rPr>
        <w:t xml:space="preserve">committee </w:t>
      </w:r>
      <w:r w:rsidRPr="00F377F7">
        <w:rPr>
          <w:i/>
          <w:iCs/>
          <w:color w:val="000000"/>
          <w:sz w:val="22"/>
          <w:szCs w:val="22"/>
        </w:rPr>
        <w:t xml:space="preserve">required to report activities </w:t>
      </w:r>
      <w:r w:rsidRPr="00F377F7">
        <w:rPr>
          <w:color w:val="000000"/>
          <w:sz w:val="22"/>
          <w:szCs w:val="22"/>
        </w:rPr>
        <w:t>under 3-8-5a and 3-8-5b.”</w:t>
      </w:r>
    </w:p>
    <w:p w:rsidR="000A7128" w:rsidRPr="00F377F7" w:rsidRDefault="000A7128" w:rsidP="00265186">
      <w:pPr>
        <w:autoSpaceDE w:val="0"/>
        <w:autoSpaceDN w:val="0"/>
        <w:adjustRightInd w:val="0"/>
        <w:rPr>
          <w:color w:val="000000"/>
          <w:sz w:val="22"/>
          <w:szCs w:val="22"/>
        </w:rPr>
      </w:pPr>
    </w:p>
    <w:p w:rsidR="00137DB0" w:rsidRPr="00F377F7" w:rsidRDefault="00137DB0" w:rsidP="00137DB0">
      <w:pPr>
        <w:autoSpaceDE w:val="0"/>
        <w:autoSpaceDN w:val="0"/>
        <w:adjustRightInd w:val="0"/>
        <w:rPr>
          <w:b/>
          <w:color w:val="000000"/>
          <w:sz w:val="22"/>
          <w:szCs w:val="22"/>
        </w:rPr>
      </w:pPr>
      <w:r w:rsidRPr="00F377F7">
        <w:rPr>
          <w:b/>
          <w:color w:val="000000"/>
          <w:sz w:val="22"/>
          <w:szCs w:val="22"/>
        </w:rPr>
        <w:t>RESPONSE:</w:t>
      </w:r>
    </w:p>
    <w:p w:rsidR="00137DB0" w:rsidRPr="00F377F7" w:rsidRDefault="00137DB0" w:rsidP="00137DB0">
      <w:pPr>
        <w:autoSpaceDE w:val="0"/>
        <w:autoSpaceDN w:val="0"/>
        <w:adjustRightInd w:val="0"/>
        <w:rPr>
          <w:color w:val="000000"/>
          <w:sz w:val="22"/>
          <w:szCs w:val="22"/>
        </w:rPr>
      </w:pPr>
    </w:p>
    <w:p w:rsidR="008D6841" w:rsidRPr="00F377F7" w:rsidRDefault="008D6841" w:rsidP="008D6841">
      <w:pPr>
        <w:autoSpaceDE w:val="0"/>
        <w:autoSpaceDN w:val="0"/>
        <w:adjustRightInd w:val="0"/>
        <w:rPr>
          <w:b/>
          <w:color w:val="000000"/>
          <w:sz w:val="22"/>
          <w:szCs w:val="22"/>
        </w:rPr>
      </w:pPr>
      <w:r w:rsidRPr="00F377F7">
        <w:rPr>
          <w:b/>
          <w:color w:val="000000"/>
          <w:sz w:val="22"/>
          <w:szCs w:val="22"/>
        </w:rPr>
        <w:t xml:space="preserve">The Rule </w:t>
      </w:r>
      <w:proofErr w:type="gramStart"/>
      <w:r w:rsidRPr="00F377F7">
        <w:rPr>
          <w:b/>
          <w:color w:val="000000"/>
          <w:sz w:val="22"/>
          <w:szCs w:val="22"/>
        </w:rPr>
        <w:t>will be amended</w:t>
      </w:r>
      <w:proofErr w:type="gramEnd"/>
      <w:r w:rsidRPr="00F377F7">
        <w:rPr>
          <w:b/>
          <w:color w:val="000000"/>
          <w:sz w:val="22"/>
          <w:szCs w:val="22"/>
        </w:rPr>
        <w:t xml:space="preserve"> to account for the commenter’s suggestion.</w:t>
      </w:r>
    </w:p>
    <w:p w:rsidR="00137DB0" w:rsidRPr="00F377F7" w:rsidRDefault="00137DB0" w:rsidP="00265186">
      <w:pPr>
        <w:autoSpaceDE w:val="0"/>
        <w:autoSpaceDN w:val="0"/>
        <w:adjustRightInd w:val="0"/>
        <w:rPr>
          <w:color w:val="000000"/>
          <w:sz w:val="22"/>
          <w:szCs w:val="22"/>
        </w:rPr>
      </w:pPr>
    </w:p>
    <w:p w:rsidR="000A7128" w:rsidRPr="00F377F7" w:rsidRDefault="000A7128" w:rsidP="000A7128">
      <w:pPr>
        <w:pStyle w:val="ListParagraph"/>
        <w:numPr>
          <w:ilvl w:val="1"/>
          <w:numId w:val="3"/>
        </w:numPr>
        <w:autoSpaceDE w:val="0"/>
        <w:autoSpaceDN w:val="0"/>
        <w:adjustRightInd w:val="0"/>
        <w:rPr>
          <w:color w:val="000000"/>
          <w:sz w:val="22"/>
          <w:szCs w:val="22"/>
        </w:rPr>
      </w:pPr>
      <w:r w:rsidRPr="00F377F7">
        <w:rPr>
          <w:i/>
          <w:iCs/>
          <w:color w:val="000000"/>
          <w:sz w:val="22"/>
          <w:szCs w:val="22"/>
        </w:rPr>
        <w:t>§ 146-3-8.6.</w:t>
      </w:r>
    </w:p>
    <w:p w:rsidR="000A7128" w:rsidRPr="00F377F7" w:rsidRDefault="000A7128" w:rsidP="000A7128">
      <w:pPr>
        <w:autoSpaceDE w:val="0"/>
        <w:autoSpaceDN w:val="0"/>
        <w:adjustRightInd w:val="0"/>
        <w:rPr>
          <w:color w:val="000000"/>
          <w:sz w:val="22"/>
          <w:szCs w:val="22"/>
        </w:rPr>
      </w:pPr>
    </w:p>
    <w:p w:rsidR="00265186" w:rsidRPr="00F377F7" w:rsidRDefault="00265186" w:rsidP="00265186">
      <w:pPr>
        <w:autoSpaceDE w:val="0"/>
        <w:autoSpaceDN w:val="0"/>
        <w:adjustRightInd w:val="0"/>
        <w:rPr>
          <w:color w:val="000000"/>
          <w:sz w:val="22"/>
          <w:szCs w:val="22"/>
        </w:rPr>
      </w:pPr>
      <w:r w:rsidRPr="00F377F7">
        <w:rPr>
          <w:color w:val="000000"/>
          <w:sz w:val="22"/>
          <w:szCs w:val="22"/>
        </w:rPr>
        <w:t>The subsection refers to persons “required to keep detailed</w:t>
      </w:r>
      <w:r w:rsidR="000A7128" w:rsidRPr="00F377F7">
        <w:rPr>
          <w:color w:val="000000"/>
          <w:sz w:val="22"/>
          <w:szCs w:val="22"/>
        </w:rPr>
        <w:t xml:space="preserve"> </w:t>
      </w:r>
      <w:r w:rsidRPr="00F377F7">
        <w:rPr>
          <w:color w:val="000000"/>
          <w:sz w:val="22"/>
          <w:szCs w:val="22"/>
        </w:rPr>
        <w:t>accounts under subsection (a) of this section.” However, § 146-3-8 does not</w:t>
      </w:r>
      <w:r w:rsidR="000A7128" w:rsidRPr="00F377F7">
        <w:rPr>
          <w:color w:val="000000"/>
          <w:sz w:val="22"/>
          <w:szCs w:val="22"/>
        </w:rPr>
        <w:t xml:space="preserve"> </w:t>
      </w:r>
      <w:r w:rsidRPr="00F377F7">
        <w:rPr>
          <w:color w:val="000000"/>
          <w:sz w:val="22"/>
          <w:szCs w:val="22"/>
        </w:rPr>
        <w:t>have a subsection (a). Additionally, this subsection does not reference the</w:t>
      </w:r>
      <w:r w:rsidR="000A7128" w:rsidRPr="00F377F7">
        <w:rPr>
          <w:color w:val="000000"/>
          <w:sz w:val="22"/>
          <w:szCs w:val="22"/>
        </w:rPr>
        <w:t xml:space="preserve"> </w:t>
      </w:r>
      <w:r w:rsidRPr="00F377F7">
        <w:rPr>
          <w:color w:val="000000"/>
          <w:sz w:val="22"/>
          <w:szCs w:val="22"/>
        </w:rPr>
        <w:t>“itemized sworn statements” that candidates must file pursuant to § 3-8-</w:t>
      </w:r>
    </w:p>
    <w:p w:rsidR="00265186" w:rsidRPr="00F377F7" w:rsidRDefault="00265186" w:rsidP="00265186">
      <w:pPr>
        <w:autoSpaceDE w:val="0"/>
        <w:autoSpaceDN w:val="0"/>
        <w:adjustRightInd w:val="0"/>
        <w:rPr>
          <w:color w:val="000000"/>
          <w:sz w:val="22"/>
          <w:szCs w:val="22"/>
        </w:rPr>
      </w:pPr>
      <w:r w:rsidRPr="00F377F7">
        <w:rPr>
          <w:color w:val="000000"/>
          <w:sz w:val="22"/>
          <w:szCs w:val="22"/>
        </w:rPr>
        <w:t>5(b</w:t>
      </w:r>
      <w:proofErr w:type="gramStart"/>
      <w:r w:rsidRPr="00F377F7">
        <w:rPr>
          <w:color w:val="000000"/>
          <w:sz w:val="22"/>
          <w:szCs w:val="22"/>
        </w:rPr>
        <w:t>)(</w:t>
      </w:r>
      <w:proofErr w:type="gramEnd"/>
      <w:r w:rsidRPr="00F377F7">
        <w:rPr>
          <w:color w:val="000000"/>
          <w:sz w:val="22"/>
          <w:szCs w:val="22"/>
        </w:rPr>
        <w:t>2) of the Code.</w:t>
      </w:r>
    </w:p>
    <w:p w:rsidR="000A7128" w:rsidRPr="00F377F7" w:rsidRDefault="000A7128" w:rsidP="00265186">
      <w:pPr>
        <w:autoSpaceDE w:val="0"/>
        <w:autoSpaceDN w:val="0"/>
        <w:adjustRightInd w:val="0"/>
        <w:rPr>
          <w:color w:val="000000"/>
          <w:sz w:val="22"/>
          <w:szCs w:val="22"/>
        </w:rPr>
      </w:pPr>
    </w:p>
    <w:p w:rsidR="00137DB0" w:rsidRPr="00F377F7" w:rsidRDefault="00137DB0" w:rsidP="00137DB0">
      <w:pPr>
        <w:autoSpaceDE w:val="0"/>
        <w:autoSpaceDN w:val="0"/>
        <w:adjustRightInd w:val="0"/>
        <w:rPr>
          <w:b/>
          <w:color w:val="000000"/>
          <w:sz w:val="22"/>
          <w:szCs w:val="22"/>
        </w:rPr>
      </w:pPr>
      <w:r w:rsidRPr="00F377F7">
        <w:rPr>
          <w:b/>
          <w:color w:val="000000"/>
          <w:sz w:val="22"/>
          <w:szCs w:val="22"/>
        </w:rPr>
        <w:t>RESPONSE:</w:t>
      </w:r>
    </w:p>
    <w:p w:rsidR="008D6841" w:rsidRPr="00F377F7" w:rsidRDefault="008D6841" w:rsidP="008D6841">
      <w:pPr>
        <w:autoSpaceDE w:val="0"/>
        <w:autoSpaceDN w:val="0"/>
        <w:adjustRightInd w:val="0"/>
        <w:rPr>
          <w:b/>
          <w:color w:val="000000"/>
          <w:sz w:val="22"/>
          <w:szCs w:val="22"/>
        </w:rPr>
      </w:pPr>
    </w:p>
    <w:p w:rsidR="008D6841" w:rsidRPr="00F377F7" w:rsidRDefault="008D6841" w:rsidP="008D6841">
      <w:pPr>
        <w:autoSpaceDE w:val="0"/>
        <w:autoSpaceDN w:val="0"/>
        <w:adjustRightInd w:val="0"/>
        <w:rPr>
          <w:b/>
          <w:color w:val="000000"/>
          <w:sz w:val="22"/>
          <w:szCs w:val="22"/>
        </w:rPr>
      </w:pPr>
      <w:r w:rsidRPr="00F377F7">
        <w:rPr>
          <w:b/>
          <w:color w:val="000000"/>
          <w:sz w:val="22"/>
          <w:szCs w:val="22"/>
        </w:rPr>
        <w:t xml:space="preserve">The Rule </w:t>
      </w:r>
      <w:proofErr w:type="gramStart"/>
      <w:r w:rsidRPr="00F377F7">
        <w:rPr>
          <w:b/>
          <w:color w:val="000000"/>
          <w:sz w:val="22"/>
          <w:szCs w:val="22"/>
        </w:rPr>
        <w:t>will be amended</w:t>
      </w:r>
      <w:proofErr w:type="gramEnd"/>
      <w:r w:rsidRPr="00F377F7">
        <w:rPr>
          <w:b/>
          <w:color w:val="000000"/>
          <w:sz w:val="22"/>
          <w:szCs w:val="22"/>
        </w:rPr>
        <w:t xml:space="preserve"> to account for the commenter’s suggestion.</w:t>
      </w:r>
    </w:p>
    <w:p w:rsidR="00137DB0" w:rsidRPr="00F377F7" w:rsidRDefault="00137DB0" w:rsidP="00265186">
      <w:pPr>
        <w:autoSpaceDE w:val="0"/>
        <w:autoSpaceDN w:val="0"/>
        <w:adjustRightInd w:val="0"/>
        <w:rPr>
          <w:color w:val="000000"/>
          <w:sz w:val="22"/>
          <w:szCs w:val="22"/>
        </w:rPr>
      </w:pPr>
    </w:p>
    <w:p w:rsidR="000A7128" w:rsidRPr="00F377F7" w:rsidRDefault="000A7128" w:rsidP="000A7128">
      <w:pPr>
        <w:pStyle w:val="ListParagraph"/>
        <w:numPr>
          <w:ilvl w:val="1"/>
          <w:numId w:val="3"/>
        </w:numPr>
        <w:autoSpaceDE w:val="0"/>
        <w:autoSpaceDN w:val="0"/>
        <w:adjustRightInd w:val="0"/>
        <w:rPr>
          <w:color w:val="000000"/>
          <w:sz w:val="22"/>
          <w:szCs w:val="22"/>
        </w:rPr>
      </w:pPr>
      <w:r w:rsidRPr="00F377F7">
        <w:rPr>
          <w:i/>
          <w:iCs/>
          <w:color w:val="000000"/>
          <w:sz w:val="22"/>
          <w:szCs w:val="22"/>
        </w:rPr>
        <w:t>§§ 146-3-8.14 &amp; 146-3-8.15.</w:t>
      </w:r>
    </w:p>
    <w:p w:rsidR="000A7128" w:rsidRPr="00F377F7" w:rsidRDefault="000A7128" w:rsidP="000A7128">
      <w:pPr>
        <w:autoSpaceDE w:val="0"/>
        <w:autoSpaceDN w:val="0"/>
        <w:adjustRightInd w:val="0"/>
        <w:rPr>
          <w:color w:val="000000"/>
          <w:sz w:val="22"/>
          <w:szCs w:val="22"/>
        </w:rPr>
      </w:pPr>
    </w:p>
    <w:p w:rsidR="00265186" w:rsidRPr="00F377F7" w:rsidRDefault="00265186" w:rsidP="00265186">
      <w:pPr>
        <w:autoSpaceDE w:val="0"/>
        <w:autoSpaceDN w:val="0"/>
        <w:adjustRightInd w:val="0"/>
        <w:rPr>
          <w:color w:val="000000"/>
          <w:sz w:val="22"/>
          <w:szCs w:val="22"/>
        </w:rPr>
      </w:pPr>
      <w:r w:rsidRPr="00F377F7">
        <w:rPr>
          <w:color w:val="000000"/>
          <w:sz w:val="22"/>
          <w:szCs w:val="22"/>
        </w:rPr>
        <w:t>In addition to referencing §§ 3-8-2 and 3-8-2b,</w:t>
      </w:r>
      <w:r w:rsidR="000A7128" w:rsidRPr="00F377F7">
        <w:rPr>
          <w:color w:val="000000"/>
          <w:sz w:val="22"/>
          <w:szCs w:val="22"/>
        </w:rPr>
        <w:t xml:space="preserve"> </w:t>
      </w:r>
      <w:r w:rsidRPr="00F377F7">
        <w:rPr>
          <w:color w:val="000000"/>
          <w:sz w:val="22"/>
          <w:szCs w:val="22"/>
        </w:rPr>
        <w:t>both of these subsections should also refer to § 3-8-</w:t>
      </w:r>
      <w:proofErr w:type="gramStart"/>
      <w:r w:rsidRPr="00F377F7">
        <w:rPr>
          <w:color w:val="000000"/>
          <w:sz w:val="22"/>
          <w:szCs w:val="22"/>
        </w:rPr>
        <w:t>5b(</w:t>
      </w:r>
      <w:proofErr w:type="gramEnd"/>
      <w:r w:rsidRPr="00F377F7">
        <w:rPr>
          <w:color w:val="000000"/>
          <w:sz w:val="22"/>
          <w:szCs w:val="22"/>
        </w:rPr>
        <w:t>b)(1) of the Code, which</w:t>
      </w:r>
      <w:r w:rsidR="000A7128" w:rsidRPr="00F377F7">
        <w:rPr>
          <w:color w:val="000000"/>
          <w:sz w:val="22"/>
          <w:szCs w:val="22"/>
        </w:rPr>
        <w:t xml:space="preserve"> </w:t>
      </w:r>
      <w:r w:rsidRPr="00F377F7">
        <w:rPr>
          <w:color w:val="000000"/>
          <w:sz w:val="22"/>
          <w:szCs w:val="22"/>
        </w:rPr>
        <w:t>mandates electronic filing of independent expenditure and electioneering</w:t>
      </w:r>
      <w:r w:rsidR="000A7128" w:rsidRPr="00F377F7">
        <w:rPr>
          <w:color w:val="000000"/>
          <w:sz w:val="22"/>
          <w:szCs w:val="22"/>
        </w:rPr>
        <w:t xml:space="preserve"> </w:t>
      </w:r>
      <w:r w:rsidRPr="00F377F7">
        <w:rPr>
          <w:color w:val="000000"/>
          <w:sz w:val="22"/>
          <w:szCs w:val="22"/>
        </w:rPr>
        <w:t>communication reports.</w:t>
      </w:r>
    </w:p>
    <w:p w:rsidR="000A7128" w:rsidRPr="00F377F7" w:rsidRDefault="000A7128" w:rsidP="00265186">
      <w:pPr>
        <w:autoSpaceDE w:val="0"/>
        <w:autoSpaceDN w:val="0"/>
        <w:adjustRightInd w:val="0"/>
        <w:rPr>
          <w:color w:val="000000"/>
          <w:sz w:val="22"/>
          <w:szCs w:val="22"/>
        </w:rPr>
      </w:pPr>
    </w:p>
    <w:p w:rsidR="00137DB0" w:rsidRPr="00F377F7" w:rsidRDefault="00137DB0" w:rsidP="00137DB0">
      <w:pPr>
        <w:autoSpaceDE w:val="0"/>
        <w:autoSpaceDN w:val="0"/>
        <w:adjustRightInd w:val="0"/>
        <w:rPr>
          <w:b/>
          <w:color w:val="000000"/>
          <w:sz w:val="22"/>
          <w:szCs w:val="22"/>
        </w:rPr>
      </w:pPr>
      <w:r w:rsidRPr="00F377F7">
        <w:rPr>
          <w:b/>
          <w:color w:val="000000"/>
          <w:sz w:val="22"/>
          <w:szCs w:val="22"/>
        </w:rPr>
        <w:t>RESPONSE:</w:t>
      </w:r>
    </w:p>
    <w:p w:rsidR="00137DB0" w:rsidRPr="00F377F7" w:rsidRDefault="00137DB0" w:rsidP="00137DB0">
      <w:pPr>
        <w:autoSpaceDE w:val="0"/>
        <w:autoSpaceDN w:val="0"/>
        <w:adjustRightInd w:val="0"/>
        <w:rPr>
          <w:color w:val="000000"/>
          <w:sz w:val="22"/>
          <w:szCs w:val="22"/>
        </w:rPr>
      </w:pPr>
    </w:p>
    <w:p w:rsidR="008D6841" w:rsidRPr="00F377F7" w:rsidRDefault="008D6841" w:rsidP="008D6841">
      <w:pPr>
        <w:autoSpaceDE w:val="0"/>
        <w:autoSpaceDN w:val="0"/>
        <w:adjustRightInd w:val="0"/>
        <w:rPr>
          <w:b/>
          <w:color w:val="000000"/>
          <w:sz w:val="22"/>
          <w:szCs w:val="22"/>
        </w:rPr>
      </w:pPr>
      <w:r w:rsidRPr="00F377F7">
        <w:rPr>
          <w:b/>
          <w:color w:val="000000"/>
          <w:sz w:val="22"/>
          <w:szCs w:val="22"/>
        </w:rPr>
        <w:t xml:space="preserve">The Rule </w:t>
      </w:r>
      <w:proofErr w:type="gramStart"/>
      <w:r w:rsidRPr="00F377F7">
        <w:rPr>
          <w:b/>
          <w:color w:val="000000"/>
          <w:sz w:val="22"/>
          <w:szCs w:val="22"/>
        </w:rPr>
        <w:t>will be amended</w:t>
      </w:r>
      <w:proofErr w:type="gramEnd"/>
      <w:r w:rsidRPr="00F377F7">
        <w:rPr>
          <w:b/>
          <w:color w:val="000000"/>
          <w:sz w:val="22"/>
          <w:szCs w:val="22"/>
        </w:rPr>
        <w:t xml:space="preserve"> to account for the commenter’s suggestion.</w:t>
      </w:r>
    </w:p>
    <w:p w:rsidR="00137DB0" w:rsidRPr="00F377F7" w:rsidRDefault="00137DB0" w:rsidP="00265186">
      <w:pPr>
        <w:autoSpaceDE w:val="0"/>
        <w:autoSpaceDN w:val="0"/>
        <w:adjustRightInd w:val="0"/>
        <w:rPr>
          <w:color w:val="000000"/>
          <w:sz w:val="22"/>
          <w:szCs w:val="22"/>
        </w:rPr>
      </w:pPr>
    </w:p>
    <w:p w:rsidR="000A7128" w:rsidRPr="00F377F7" w:rsidRDefault="00265186" w:rsidP="000A7128">
      <w:pPr>
        <w:pStyle w:val="ListParagraph"/>
        <w:numPr>
          <w:ilvl w:val="1"/>
          <w:numId w:val="3"/>
        </w:numPr>
        <w:autoSpaceDE w:val="0"/>
        <w:autoSpaceDN w:val="0"/>
        <w:adjustRightInd w:val="0"/>
        <w:rPr>
          <w:color w:val="000000"/>
          <w:sz w:val="22"/>
          <w:szCs w:val="22"/>
        </w:rPr>
      </w:pPr>
      <w:r w:rsidRPr="00F377F7">
        <w:rPr>
          <w:i/>
          <w:iCs/>
          <w:color w:val="000000"/>
          <w:sz w:val="22"/>
          <w:szCs w:val="22"/>
        </w:rPr>
        <w:t>§ 146-3-10.4.</w:t>
      </w:r>
    </w:p>
    <w:p w:rsidR="000A7128" w:rsidRPr="00F377F7" w:rsidRDefault="000A7128" w:rsidP="000A7128">
      <w:pPr>
        <w:autoSpaceDE w:val="0"/>
        <w:autoSpaceDN w:val="0"/>
        <w:adjustRightInd w:val="0"/>
        <w:rPr>
          <w:color w:val="000000"/>
          <w:sz w:val="22"/>
          <w:szCs w:val="22"/>
        </w:rPr>
      </w:pPr>
    </w:p>
    <w:p w:rsidR="00265186" w:rsidRPr="00F377F7" w:rsidRDefault="00265186" w:rsidP="000A7128">
      <w:pPr>
        <w:autoSpaceDE w:val="0"/>
        <w:autoSpaceDN w:val="0"/>
        <w:adjustRightInd w:val="0"/>
        <w:rPr>
          <w:color w:val="000000"/>
          <w:sz w:val="22"/>
          <w:szCs w:val="22"/>
        </w:rPr>
      </w:pPr>
      <w:r w:rsidRPr="00F377F7">
        <w:rPr>
          <w:color w:val="000000"/>
          <w:sz w:val="22"/>
          <w:szCs w:val="22"/>
        </w:rPr>
        <w:t>This subsection also should apply to funds solicited in</w:t>
      </w:r>
      <w:r w:rsidR="000A7128" w:rsidRPr="00F377F7">
        <w:rPr>
          <w:color w:val="000000"/>
          <w:sz w:val="22"/>
          <w:szCs w:val="22"/>
        </w:rPr>
        <w:t xml:space="preserve"> </w:t>
      </w:r>
      <w:r w:rsidRPr="00F377F7">
        <w:rPr>
          <w:color w:val="000000"/>
          <w:sz w:val="22"/>
          <w:szCs w:val="22"/>
        </w:rPr>
        <w:t>connection with a special election.</w:t>
      </w:r>
    </w:p>
    <w:p w:rsidR="00137DB0" w:rsidRPr="00F377F7" w:rsidRDefault="00137DB0" w:rsidP="00137DB0">
      <w:pPr>
        <w:autoSpaceDE w:val="0"/>
        <w:autoSpaceDN w:val="0"/>
        <w:adjustRightInd w:val="0"/>
        <w:rPr>
          <w:b/>
          <w:color w:val="000000"/>
          <w:sz w:val="22"/>
          <w:szCs w:val="22"/>
        </w:rPr>
      </w:pPr>
    </w:p>
    <w:p w:rsidR="00137DB0" w:rsidRPr="00F377F7" w:rsidRDefault="00137DB0" w:rsidP="00137DB0">
      <w:pPr>
        <w:autoSpaceDE w:val="0"/>
        <w:autoSpaceDN w:val="0"/>
        <w:adjustRightInd w:val="0"/>
        <w:rPr>
          <w:b/>
          <w:color w:val="000000"/>
          <w:sz w:val="22"/>
          <w:szCs w:val="22"/>
        </w:rPr>
      </w:pPr>
      <w:r w:rsidRPr="00F377F7">
        <w:rPr>
          <w:b/>
          <w:color w:val="000000"/>
          <w:sz w:val="22"/>
          <w:szCs w:val="22"/>
        </w:rPr>
        <w:t>RESPONSE:</w:t>
      </w:r>
    </w:p>
    <w:p w:rsidR="00137DB0" w:rsidRPr="00F377F7" w:rsidRDefault="00137DB0" w:rsidP="00137DB0">
      <w:pPr>
        <w:autoSpaceDE w:val="0"/>
        <w:autoSpaceDN w:val="0"/>
        <w:adjustRightInd w:val="0"/>
        <w:rPr>
          <w:color w:val="000000"/>
          <w:sz w:val="22"/>
          <w:szCs w:val="22"/>
        </w:rPr>
      </w:pPr>
    </w:p>
    <w:p w:rsidR="00137DB0" w:rsidRPr="00F377F7" w:rsidRDefault="008D6841" w:rsidP="000A7128">
      <w:pPr>
        <w:autoSpaceDE w:val="0"/>
        <w:autoSpaceDN w:val="0"/>
        <w:adjustRightInd w:val="0"/>
        <w:rPr>
          <w:b/>
          <w:color w:val="000000"/>
          <w:sz w:val="22"/>
          <w:szCs w:val="22"/>
        </w:rPr>
      </w:pPr>
      <w:r w:rsidRPr="00F377F7">
        <w:rPr>
          <w:b/>
          <w:color w:val="000000"/>
          <w:sz w:val="22"/>
          <w:szCs w:val="22"/>
        </w:rPr>
        <w:t>The Rule will be amended by adding “or special election.”</w:t>
      </w:r>
    </w:p>
    <w:p w:rsidR="00137DB0" w:rsidRDefault="00137DB0" w:rsidP="00137DB0">
      <w:pPr>
        <w:pBdr>
          <w:bottom w:val="single" w:sz="6" w:space="1" w:color="auto"/>
        </w:pBdr>
        <w:rPr>
          <w:color w:val="000000"/>
          <w:sz w:val="22"/>
          <w:szCs w:val="22"/>
        </w:rPr>
      </w:pPr>
    </w:p>
    <w:p w:rsidR="008F63FF" w:rsidRDefault="008F63FF" w:rsidP="008F63FF">
      <w:pPr>
        <w:jc w:val="center"/>
        <w:rPr>
          <w:color w:val="000000"/>
          <w:sz w:val="22"/>
          <w:szCs w:val="22"/>
        </w:rPr>
      </w:pPr>
    </w:p>
    <w:p w:rsidR="008F63FF" w:rsidRPr="008F63FF" w:rsidRDefault="008F63FF" w:rsidP="008F63FF">
      <w:pPr>
        <w:jc w:val="center"/>
        <w:rPr>
          <w:color w:val="000000"/>
          <w:sz w:val="22"/>
          <w:szCs w:val="22"/>
          <w:u w:val="single"/>
        </w:rPr>
      </w:pPr>
      <w:r w:rsidRPr="008F63FF">
        <w:rPr>
          <w:color w:val="000000"/>
          <w:sz w:val="22"/>
          <w:szCs w:val="22"/>
          <w:u w:val="single"/>
        </w:rPr>
        <w:t>Duplicative Comments and Responses to Each</w:t>
      </w:r>
    </w:p>
    <w:p w:rsidR="008F63FF" w:rsidRDefault="008F63FF" w:rsidP="008F63FF">
      <w:pPr>
        <w:rPr>
          <w:color w:val="000000"/>
          <w:sz w:val="22"/>
          <w:szCs w:val="22"/>
        </w:rPr>
      </w:pPr>
    </w:p>
    <w:p w:rsidR="008F63FF" w:rsidRPr="00F377F7" w:rsidRDefault="008F63FF" w:rsidP="008F63FF">
      <w:pPr>
        <w:rPr>
          <w:sz w:val="22"/>
          <w:szCs w:val="22"/>
        </w:rPr>
      </w:pPr>
      <w:r w:rsidRPr="00F377F7">
        <w:rPr>
          <w:sz w:val="22"/>
          <w:szCs w:val="22"/>
        </w:rPr>
        <w:t xml:space="preserve">As an initial matter, several of the public comments received refer to the provisions of SB 622 without regard to the proposed Legislative Rule. For each comment that does not refer to the Legislative Rule, the SEC has no authority to amend or alter any provision of SB 622; such action </w:t>
      </w:r>
      <w:proofErr w:type="gramStart"/>
      <w:r w:rsidRPr="00F377F7">
        <w:rPr>
          <w:sz w:val="22"/>
          <w:szCs w:val="22"/>
        </w:rPr>
        <w:t>must be made</w:t>
      </w:r>
      <w:proofErr w:type="gramEnd"/>
      <w:r w:rsidRPr="00F377F7">
        <w:rPr>
          <w:sz w:val="22"/>
          <w:szCs w:val="22"/>
        </w:rPr>
        <w:t xml:space="preserve"> by the Legislature. Therefore, </w:t>
      </w:r>
      <w:r>
        <w:rPr>
          <w:sz w:val="22"/>
          <w:szCs w:val="22"/>
        </w:rPr>
        <w:t>for each</w:t>
      </w:r>
      <w:r w:rsidRPr="00F377F7">
        <w:rPr>
          <w:sz w:val="22"/>
          <w:szCs w:val="22"/>
        </w:rPr>
        <w:t xml:space="preserve"> comment that does not pertain to the provisions o</w:t>
      </w:r>
      <w:r>
        <w:rPr>
          <w:sz w:val="22"/>
          <w:szCs w:val="22"/>
        </w:rPr>
        <w:t xml:space="preserve">f the proposed Legislative Rule, </w:t>
      </w:r>
      <w:r w:rsidRPr="00F377F7">
        <w:rPr>
          <w:sz w:val="22"/>
          <w:szCs w:val="22"/>
        </w:rPr>
        <w:t xml:space="preserve">the SEC </w:t>
      </w:r>
      <w:r>
        <w:rPr>
          <w:sz w:val="22"/>
          <w:szCs w:val="22"/>
        </w:rPr>
        <w:t>responds generally that it is without statutory authority to make any amendments to the statutes amended or created by SB 622.</w:t>
      </w:r>
    </w:p>
    <w:p w:rsidR="008F63FF" w:rsidRDefault="008F63FF" w:rsidP="008F63FF">
      <w:pPr>
        <w:rPr>
          <w:b/>
          <w:sz w:val="22"/>
          <w:szCs w:val="22"/>
          <w:u w:val="single"/>
        </w:rPr>
      </w:pPr>
    </w:p>
    <w:p w:rsidR="008F63FF" w:rsidRPr="008F63FF" w:rsidRDefault="008F63FF" w:rsidP="008F63FF">
      <w:pPr>
        <w:rPr>
          <w:b/>
          <w:sz w:val="22"/>
          <w:szCs w:val="22"/>
        </w:rPr>
      </w:pPr>
      <w:r w:rsidRPr="008F63FF">
        <w:rPr>
          <w:b/>
          <w:sz w:val="22"/>
          <w:szCs w:val="22"/>
        </w:rPr>
        <w:t>COMMENTS:</w:t>
      </w:r>
    </w:p>
    <w:p w:rsidR="008F63FF" w:rsidRPr="008F63FF" w:rsidRDefault="008F63FF" w:rsidP="008F63FF">
      <w:pPr>
        <w:rPr>
          <w:b/>
          <w:sz w:val="22"/>
          <w:szCs w:val="22"/>
          <w:u w:val="single"/>
        </w:rPr>
      </w:pPr>
    </w:p>
    <w:p w:rsidR="008F63FF" w:rsidRPr="00F377F7" w:rsidRDefault="008F63FF" w:rsidP="008F63FF">
      <w:pPr>
        <w:pStyle w:val="ListParagraph"/>
        <w:numPr>
          <w:ilvl w:val="0"/>
          <w:numId w:val="1"/>
        </w:numPr>
        <w:rPr>
          <w:sz w:val="22"/>
          <w:szCs w:val="22"/>
        </w:rPr>
      </w:pPr>
      <w:r w:rsidRPr="00F377F7">
        <w:rPr>
          <w:sz w:val="22"/>
          <w:szCs w:val="22"/>
        </w:rPr>
        <w:t>Clarify that the rules apply to non-partisan elections, including judicial elections.</w:t>
      </w:r>
    </w:p>
    <w:p w:rsidR="008F63FF" w:rsidRPr="00F377F7" w:rsidRDefault="008F63FF" w:rsidP="008F63FF">
      <w:pPr>
        <w:rPr>
          <w:sz w:val="22"/>
          <w:szCs w:val="22"/>
        </w:rPr>
      </w:pPr>
    </w:p>
    <w:p w:rsidR="008F63FF" w:rsidRPr="00F377F7" w:rsidRDefault="008F63FF" w:rsidP="008F63FF">
      <w:pPr>
        <w:autoSpaceDE w:val="0"/>
        <w:autoSpaceDN w:val="0"/>
        <w:adjustRightInd w:val="0"/>
        <w:rPr>
          <w:b/>
          <w:color w:val="000000"/>
          <w:sz w:val="22"/>
          <w:szCs w:val="22"/>
        </w:rPr>
      </w:pPr>
      <w:r w:rsidRPr="00F377F7">
        <w:rPr>
          <w:b/>
          <w:color w:val="000000"/>
          <w:sz w:val="22"/>
          <w:szCs w:val="22"/>
        </w:rPr>
        <w:t>RESPONSE:</w:t>
      </w:r>
    </w:p>
    <w:p w:rsidR="008F63FF" w:rsidRPr="00F377F7" w:rsidRDefault="008F63FF" w:rsidP="008F63FF">
      <w:pPr>
        <w:autoSpaceDE w:val="0"/>
        <w:autoSpaceDN w:val="0"/>
        <w:adjustRightInd w:val="0"/>
        <w:rPr>
          <w:color w:val="000000"/>
          <w:sz w:val="22"/>
          <w:szCs w:val="22"/>
        </w:rPr>
      </w:pPr>
    </w:p>
    <w:p w:rsidR="008F63FF" w:rsidRPr="00F377F7" w:rsidRDefault="008F63FF" w:rsidP="008F63FF">
      <w:pPr>
        <w:rPr>
          <w:b/>
          <w:sz w:val="22"/>
          <w:szCs w:val="22"/>
        </w:rPr>
      </w:pPr>
      <w:r w:rsidRPr="00F377F7">
        <w:rPr>
          <w:b/>
          <w:sz w:val="22"/>
          <w:szCs w:val="22"/>
        </w:rPr>
        <w:t xml:space="preserve">This Rule makes no amendment to the previous statutory requirements that mandate all candidates </w:t>
      </w:r>
      <w:proofErr w:type="gramStart"/>
      <w:r w:rsidRPr="00F377F7">
        <w:rPr>
          <w:b/>
          <w:sz w:val="22"/>
          <w:szCs w:val="22"/>
        </w:rPr>
        <w:t>are</w:t>
      </w:r>
      <w:proofErr w:type="gramEnd"/>
      <w:r w:rsidRPr="00F377F7">
        <w:rPr>
          <w:b/>
          <w:sz w:val="22"/>
          <w:szCs w:val="22"/>
        </w:rPr>
        <w:t xml:space="preserve"> subject to the provisions of Chapter 3 and any applicable rules promulgated by the State Election Commission. No clarification is necessary.</w:t>
      </w:r>
    </w:p>
    <w:p w:rsidR="008F63FF" w:rsidRPr="00F377F7" w:rsidRDefault="008F63FF" w:rsidP="008F63FF">
      <w:pPr>
        <w:rPr>
          <w:sz w:val="22"/>
          <w:szCs w:val="22"/>
        </w:rPr>
      </w:pPr>
    </w:p>
    <w:p w:rsidR="008F63FF" w:rsidRPr="00F377F7" w:rsidRDefault="008F63FF" w:rsidP="008F63FF">
      <w:pPr>
        <w:pStyle w:val="ListParagraph"/>
        <w:numPr>
          <w:ilvl w:val="0"/>
          <w:numId w:val="1"/>
        </w:numPr>
        <w:rPr>
          <w:sz w:val="22"/>
          <w:szCs w:val="22"/>
        </w:rPr>
      </w:pPr>
      <w:r w:rsidRPr="00F377F7">
        <w:rPr>
          <w:sz w:val="22"/>
          <w:szCs w:val="22"/>
        </w:rPr>
        <w:t xml:space="preserve">Expand the definition of "political purposes" beyond express advocacy. Under the proposed definition electioneering communications (ads that </w:t>
      </w:r>
      <w:proofErr w:type="gramStart"/>
      <w:r w:rsidRPr="00F377F7">
        <w:rPr>
          <w:sz w:val="22"/>
          <w:szCs w:val="22"/>
        </w:rPr>
        <w:t>don’t</w:t>
      </w:r>
      <w:proofErr w:type="gramEnd"/>
      <w:r w:rsidRPr="00F377F7">
        <w:rPr>
          <w:sz w:val="22"/>
          <w:szCs w:val="22"/>
        </w:rPr>
        <w:t xml:space="preserve"> directly say to vote for or against a candidate) won't be considered political activity.</w:t>
      </w:r>
    </w:p>
    <w:p w:rsidR="008F63FF" w:rsidRPr="00F377F7" w:rsidRDefault="008F63FF" w:rsidP="008F63FF">
      <w:pPr>
        <w:rPr>
          <w:sz w:val="22"/>
          <w:szCs w:val="22"/>
        </w:rPr>
      </w:pPr>
    </w:p>
    <w:p w:rsidR="008F63FF" w:rsidRPr="00F377F7" w:rsidRDefault="008F63FF" w:rsidP="008F63FF">
      <w:pPr>
        <w:autoSpaceDE w:val="0"/>
        <w:autoSpaceDN w:val="0"/>
        <w:adjustRightInd w:val="0"/>
        <w:rPr>
          <w:b/>
          <w:color w:val="000000"/>
          <w:sz w:val="22"/>
          <w:szCs w:val="22"/>
        </w:rPr>
      </w:pPr>
      <w:r w:rsidRPr="00F377F7">
        <w:rPr>
          <w:b/>
          <w:color w:val="000000"/>
          <w:sz w:val="22"/>
          <w:szCs w:val="22"/>
        </w:rPr>
        <w:t>RESPONSE:</w:t>
      </w:r>
    </w:p>
    <w:p w:rsidR="008F63FF" w:rsidRPr="00F377F7" w:rsidRDefault="008F63FF" w:rsidP="008F63FF">
      <w:pPr>
        <w:autoSpaceDE w:val="0"/>
        <w:autoSpaceDN w:val="0"/>
        <w:adjustRightInd w:val="0"/>
        <w:rPr>
          <w:b/>
          <w:color w:val="000000"/>
          <w:sz w:val="22"/>
          <w:szCs w:val="22"/>
        </w:rPr>
      </w:pPr>
    </w:p>
    <w:p w:rsidR="008F63FF" w:rsidRPr="00F377F7" w:rsidRDefault="008F63FF" w:rsidP="008F63FF">
      <w:pPr>
        <w:autoSpaceDE w:val="0"/>
        <w:autoSpaceDN w:val="0"/>
        <w:adjustRightInd w:val="0"/>
        <w:rPr>
          <w:b/>
          <w:color w:val="000000"/>
          <w:sz w:val="22"/>
          <w:szCs w:val="22"/>
        </w:rPr>
      </w:pPr>
      <w:r w:rsidRPr="00F377F7">
        <w:rPr>
          <w:b/>
          <w:color w:val="000000"/>
          <w:sz w:val="22"/>
          <w:szCs w:val="22"/>
        </w:rPr>
        <w:t xml:space="preserve">The Rule </w:t>
      </w:r>
      <w:proofErr w:type="gramStart"/>
      <w:r w:rsidRPr="00F377F7">
        <w:rPr>
          <w:b/>
          <w:color w:val="000000"/>
          <w:sz w:val="22"/>
          <w:szCs w:val="22"/>
        </w:rPr>
        <w:t>will be amended</w:t>
      </w:r>
      <w:proofErr w:type="gramEnd"/>
      <w:r w:rsidRPr="00F377F7">
        <w:rPr>
          <w:b/>
          <w:color w:val="000000"/>
          <w:sz w:val="22"/>
          <w:szCs w:val="22"/>
        </w:rPr>
        <w:t xml:space="preserve"> to include “ballot issue” in this definition to be consistent with the statute.</w:t>
      </w:r>
    </w:p>
    <w:p w:rsidR="008F63FF" w:rsidRPr="00F377F7" w:rsidRDefault="008F63FF" w:rsidP="008F63FF">
      <w:pPr>
        <w:rPr>
          <w:sz w:val="22"/>
          <w:szCs w:val="22"/>
        </w:rPr>
      </w:pPr>
    </w:p>
    <w:p w:rsidR="008F63FF" w:rsidRPr="00F377F7" w:rsidRDefault="008F63FF" w:rsidP="008F63FF">
      <w:pPr>
        <w:pStyle w:val="ListParagraph"/>
        <w:numPr>
          <w:ilvl w:val="0"/>
          <w:numId w:val="1"/>
        </w:numPr>
        <w:rPr>
          <w:sz w:val="22"/>
          <w:szCs w:val="22"/>
        </w:rPr>
      </w:pPr>
      <w:r w:rsidRPr="00F377F7">
        <w:rPr>
          <w:sz w:val="22"/>
          <w:szCs w:val="22"/>
        </w:rPr>
        <w:t>Expand the types of conduct that amount to coordination with a candidate, such as a third party's re-publication of a candidate's campaign materials, and include coordinated electioneering communications in the definition of coordinated expenditure.</w:t>
      </w:r>
    </w:p>
    <w:p w:rsidR="008F63FF" w:rsidRPr="00F377F7" w:rsidRDefault="008F63FF" w:rsidP="008F63FF">
      <w:pPr>
        <w:rPr>
          <w:sz w:val="22"/>
          <w:szCs w:val="22"/>
        </w:rPr>
      </w:pPr>
    </w:p>
    <w:p w:rsidR="008F63FF" w:rsidRPr="00F377F7" w:rsidRDefault="008F63FF" w:rsidP="008F63FF">
      <w:pPr>
        <w:autoSpaceDE w:val="0"/>
        <w:autoSpaceDN w:val="0"/>
        <w:adjustRightInd w:val="0"/>
        <w:rPr>
          <w:b/>
          <w:color w:val="000000"/>
          <w:sz w:val="22"/>
          <w:szCs w:val="22"/>
        </w:rPr>
      </w:pPr>
      <w:r w:rsidRPr="00F377F7">
        <w:rPr>
          <w:b/>
          <w:color w:val="000000"/>
          <w:sz w:val="22"/>
          <w:szCs w:val="22"/>
        </w:rPr>
        <w:t>RESPONSE:</w:t>
      </w:r>
    </w:p>
    <w:p w:rsidR="008F63FF" w:rsidRPr="00F377F7" w:rsidRDefault="008F63FF" w:rsidP="008F63FF">
      <w:pPr>
        <w:autoSpaceDE w:val="0"/>
        <w:autoSpaceDN w:val="0"/>
        <w:adjustRightInd w:val="0"/>
        <w:rPr>
          <w:b/>
          <w:color w:val="000000"/>
          <w:sz w:val="22"/>
          <w:szCs w:val="22"/>
        </w:rPr>
      </w:pPr>
    </w:p>
    <w:p w:rsidR="008F63FF" w:rsidRPr="00F377F7" w:rsidRDefault="008F63FF" w:rsidP="008F63FF">
      <w:pPr>
        <w:autoSpaceDE w:val="0"/>
        <w:autoSpaceDN w:val="0"/>
        <w:adjustRightInd w:val="0"/>
        <w:rPr>
          <w:b/>
          <w:color w:val="000000"/>
          <w:sz w:val="22"/>
          <w:szCs w:val="22"/>
        </w:rPr>
      </w:pPr>
      <w:r w:rsidRPr="00F377F7">
        <w:rPr>
          <w:b/>
          <w:color w:val="000000"/>
          <w:sz w:val="22"/>
          <w:szCs w:val="22"/>
        </w:rPr>
        <w:t xml:space="preserve">The Legislature did not include “redistribution” in the definition of “coordinated expenditures,” so no action </w:t>
      </w:r>
      <w:proofErr w:type="gramStart"/>
      <w:r w:rsidRPr="00F377F7">
        <w:rPr>
          <w:b/>
          <w:color w:val="000000"/>
          <w:sz w:val="22"/>
          <w:szCs w:val="22"/>
        </w:rPr>
        <w:t>will be taken</w:t>
      </w:r>
      <w:proofErr w:type="gramEnd"/>
      <w:r w:rsidRPr="00F377F7">
        <w:rPr>
          <w:b/>
          <w:color w:val="000000"/>
          <w:sz w:val="22"/>
          <w:szCs w:val="22"/>
        </w:rPr>
        <w:t xml:space="preserve">. </w:t>
      </w:r>
    </w:p>
    <w:p w:rsidR="008F63FF" w:rsidRPr="00F377F7" w:rsidRDefault="008F63FF" w:rsidP="008F63FF">
      <w:pPr>
        <w:pStyle w:val="ListParagraph"/>
        <w:numPr>
          <w:ilvl w:val="0"/>
          <w:numId w:val="1"/>
        </w:numPr>
        <w:rPr>
          <w:sz w:val="22"/>
          <w:szCs w:val="22"/>
        </w:rPr>
      </w:pPr>
      <w:r w:rsidRPr="00F377F7">
        <w:rPr>
          <w:sz w:val="22"/>
          <w:szCs w:val="22"/>
        </w:rPr>
        <w:lastRenderedPageBreak/>
        <w:t>Specify requirements for establishing firewalls to prohibit the flow of information between a candidate’s campaign and outside groups supporting that candidate’s election.</w:t>
      </w:r>
    </w:p>
    <w:p w:rsidR="008F63FF" w:rsidRPr="00F377F7" w:rsidRDefault="008F63FF" w:rsidP="008F63FF">
      <w:pPr>
        <w:rPr>
          <w:sz w:val="22"/>
          <w:szCs w:val="22"/>
        </w:rPr>
      </w:pPr>
    </w:p>
    <w:p w:rsidR="008F63FF" w:rsidRPr="00F377F7" w:rsidRDefault="008F63FF" w:rsidP="008F63FF">
      <w:pPr>
        <w:autoSpaceDE w:val="0"/>
        <w:autoSpaceDN w:val="0"/>
        <w:adjustRightInd w:val="0"/>
        <w:rPr>
          <w:b/>
          <w:color w:val="000000"/>
          <w:sz w:val="22"/>
          <w:szCs w:val="22"/>
        </w:rPr>
      </w:pPr>
      <w:r w:rsidRPr="00F377F7">
        <w:rPr>
          <w:b/>
          <w:color w:val="000000"/>
          <w:sz w:val="22"/>
          <w:szCs w:val="22"/>
        </w:rPr>
        <w:t>RESPONSE:</w:t>
      </w:r>
    </w:p>
    <w:p w:rsidR="008F63FF" w:rsidRPr="00F377F7" w:rsidRDefault="008F63FF" w:rsidP="008F63FF">
      <w:pPr>
        <w:autoSpaceDE w:val="0"/>
        <w:autoSpaceDN w:val="0"/>
        <w:adjustRightInd w:val="0"/>
        <w:rPr>
          <w:color w:val="000000"/>
          <w:sz w:val="22"/>
          <w:szCs w:val="22"/>
        </w:rPr>
      </w:pPr>
    </w:p>
    <w:p w:rsidR="008F63FF" w:rsidRPr="00F377F7" w:rsidRDefault="008F63FF" w:rsidP="008F63FF">
      <w:pPr>
        <w:autoSpaceDE w:val="0"/>
        <w:autoSpaceDN w:val="0"/>
        <w:adjustRightInd w:val="0"/>
        <w:rPr>
          <w:b/>
          <w:color w:val="000000"/>
          <w:sz w:val="22"/>
          <w:szCs w:val="22"/>
        </w:rPr>
      </w:pPr>
      <w:r w:rsidRPr="00F377F7">
        <w:rPr>
          <w:b/>
          <w:color w:val="000000"/>
          <w:sz w:val="22"/>
          <w:szCs w:val="22"/>
        </w:rPr>
        <w:t xml:space="preserve">The Rule </w:t>
      </w:r>
      <w:proofErr w:type="gramStart"/>
      <w:r w:rsidRPr="00F377F7">
        <w:rPr>
          <w:b/>
          <w:color w:val="000000"/>
          <w:sz w:val="22"/>
          <w:szCs w:val="22"/>
        </w:rPr>
        <w:t>will be amended</w:t>
      </w:r>
      <w:proofErr w:type="gramEnd"/>
      <w:r w:rsidRPr="00F377F7">
        <w:rPr>
          <w:b/>
          <w:color w:val="000000"/>
          <w:sz w:val="22"/>
          <w:szCs w:val="22"/>
        </w:rPr>
        <w:t xml:space="preserve"> to include the commenter’s suggestions that are consistent with the Federal Election Commission’s regulations and guidance.</w:t>
      </w:r>
    </w:p>
    <w:p w:rsidR="008F63FF" w:rsidRPr="00F377F7" w:rsidRDefault="008F63FF" w:rsidP="008F63FF">
      <w:pPr>
        <w:rPr>
          <w:sz w:val="22"/>
          <w:szCs w:val="22"/>
        </w:rPr>
      </w:pPr>
    </w:p>
    <w:p w:rsidR="008F63FF" w:rsidRPr="00F377F7" w:rsidRDefault="008F63FF" w:rsidP="008F63FF">
      <w:pPr>
        <w:pStyle w:val="ListParagraph"/>
        <w:numPr>
          <w:ilvl w:val="0"/>
          <w:numId w:val="1"/>
        </w:numPr>
        <w:rPr>
          <w:sz w:val="22"/>
          <w:szCs w:val="22"/>
        </w:rPr>
      </w:pPr>
      <w:r w:rsidRPr="00F377F7">
        <w:rPr>
          <w:sz w:val="22"/>
          <w:szCs w:val="22"/>
        </w:rPr>
        <w:t xml:space="preserve">Clarify which candidates and political committees are required to file reports electronically as well as who reports </w:t>
      </w:r>
      <w:proofErr w:type="gramStart"/>
      <w:r w:rsidRPr="00F377F7">
        <w:rPr>
          <w:sz w:val="22"/>
          <w:szCs w:val="22"/>
        </w:rPr>
        <w:t>are filed</w:t>
      </w:r>
      <w:proofErr w:type="gramEnd"/>
      <w:r w:rsidRPr="00F377F7">
        <w:rPr>
          <w:sz w:val="22"/>
          <w:szCs w:val="22"/>
        </w:rPr>
        <w:t xml:space="preserve"> with.</w:t>
      </w:r>
    </w:p>
    <w:p w:rsidR="008F63FF" w:rsidRPr="00F377F7" w:rsidRDefault="008F63FF" w:rsidP="008F63FF">
      <w:pPr>
        <w:rPr>
          <w:sz w:val="22"/>
          <w:szCs w:val="22"/>
        </w:rPr>
      </w:pPr>
    </w:p>
    <w:p w:rsidR="008F63FF" w:rsidRPr="00F377F7" w:rsidRDefault="008F63FF" w:rsidP="008F63FF">
      <w:pPr>
        <w:autoSpaceDE w:val="0"/>
        <w:autoSpaceDN w:val="0"/>
        <w:adjustRightInd w:val="0"/>
        <w:rPr>
          <w:b/>
          <w:color w:val="000000"/>
          <w:sz w:val="22"/>
          <w:szCs w:val="22"/>
        </w:rPr>
      </w:pPr>
      <w:r w:rsidRPr="00F377F7">
        <w:rPr>
          <w:b/>
          <w:color w:val="000000"/>
          <w:sz w:val="22"/>
          <w:szCs w:val="22"/>
        </w:rPr>
        <w:t>RESPONSE:</w:t>
      </w:r>
    </w:p>
    <w:p w:rsidR="008F63FF" w:rsidRPr="00F377F7" w:rsidRDefault="008F63FF" w:rsidP="008F63FF">
      <w:pPr>
        <w:autoSpaceDE w:val="0"/>
        <w:autoSpaceDN w:val="0"/>
        <w:adjustRightInd w:val="0"/>
        <w:rPr>
          <w:color w:val="000000"/>
          <w:sz w:val="22"/>
          <w:szCs w:val="22"/>
        </w:rPr>
      </w:pPr>
    </w:p>
    <w:p w:rsidR="008F63FF" w:rsidRPr="00F377F7" w:rsidRDefault="008F63FF" w:rsidP="008F63FF">
      <w:pPr>
        <w:rPr>
          <w:b/>
          <w:sz w:val="22"/>
          <w:szCs w:val="22"/>
        </w:rPr>
      </w:pPr>
      <w:r w:rsidRPr="00F377F7">
        <w:rPr>
          <w:b/>
          <w:sz w:val="22"/>
          <w:szCs w:val="22"/>
        </w:rPr>
        <w:t>No action needed because this clarification is provided by W. Va. Code § 3-8-5b.</w:t>
      </w:r>
    </w:p>
    <w:p w:rsidR="008F63FF" w:rsidRPr="00F377F7" w:rsidRDefault="008F63FF" w:rsidP="008F63FF">
      <w:pPr>
        <w:rPr>
          <w:b/>
          <w:sz w:val="22"/>
          <w:szCs w:val="22"/>
        </w:rPr>
      </w:pPr>
    </w:p>
    <w:p w:rsidR="008F63FF" w:rsidRPr="00F377F7" w:rsidRDefault="008F63FF" w:rsidP="008F63FF">
      <w:pPr>
        <w:pStyle w:val="ListParagraph"/>
        <w:numPr>
          <w:ilvl w:val="0"/>
          <w:numId w:val="1"/>
        </w:numPr>
        <w:rPr>
          <w:sz w:val="22"/>
          <w:szCs w:val="22"/>
        </w:rPr>
      </w:pPr>
      <w:r w:rsidRPr="00F377F7">
        <w:rPr>
          <w:sz w:val="22"/>
          <w:szCs w:val="22"/>
        </w:rPr>
        <w:t xml:space="preserve">Specify when the list of candidates and other entities filing late reports </w:t>
      </w:r>
      <w:proofErr w:type="gramStart"/>
      <w:r w:rsidRPr="00F377F7">
        <w:rPr>
          <w:sz w:val="22"/>
          <w:szCs w:val="22"/>
        </w:rPr>
        <w:t>will be published</w:t>
      </w:r>
      <w:proofErr w:type="gramEnd"/>
      <w:r w:rsidRPr="00F377F7">
        <w:rPr>
          <w:sz w:val="22"/>
          <w:szCs w:val="22"/>
        </w:rPr>
        <w:t>.</w:t>
      </w:r>
    </w:p>
    <w:p w:rsidR="008F63FF" w:rsidRPr="00F377F7" w:rsidRDefault="008F63FF" w:rsidP="008F63FF">
      <w:pPr>
        <w:rPr>
          <w:sz w:val="22"/>
          <w:szCs w:val="22"/>
        </w:rPr>
      </w:pPr>
    </w:p>
    <w:p w:rsidR="008F63FF" w:rsidRPr="00F377F7" w:rsidRDefault="008F63FF" w:rsidP="008F63FF">
      <w:pPr>
        <w:autoSpaceDE w:val="0"/>
        <w:autoSpaceDN w:val="0"/>
        <w:adjustRightInd w:val="0"/>
        <w:rPr>
          <w:b/>
          <w:color w:val="000000"/>
          <w:sz w:val="22"/>
          <w:szCs w:val="22"/>
        </w:rPr>
      </w:pPr>
      <w:r w:rsidRPr="00F377F7">
        <w:rPr>
          <w:b/>
          <w:color w:val="000000"/>
          <w:sz w:val="22"/>
          <w:szCs w:val="22"/>
        </w:rPr>
        <w:t>RESPONSE:</w:t>
      </w:r>
    </w:p>
    <w:p w:rsidR="008F63FF" w:rsidRPr="00F377F7" w:rsidRDefault="008F63FF" w:rsidP="008F63FF">
      <w:pPr>
        <w:autoSpaceDE w:val="0"/>
        <w:autoSpaceDN w:val="0"/>
        <w:adjustRightInd w:val="0"/>
        <w:rPr>
          <w:color w:val="000000"/>
          <w:sz w:val="22"/>
          <w:szCs w:val="22"/>
        </w:rPr>
      </w:pPr>
    </w:p>
    <w:p w:rsidR="008F63FF" w:rsidRPr="00F377F7" w:rsidRDefault="008F63FF" w:rsidP="008F63FF">
      <w:pPr>
        <w:autoSpaceDE w:val="0"/>
        <w:autoSpaceDN w:val="0"/>
        <w:adjustRightInd w:val="0"/>
        <w:rPr>
          <w:b/>
          <w:color w:val="000000"/>
          <w:sz w:val="22"/>
          <w:szCs w:val="22"/>
        </w:rPr>
      </w:pPr>
      <w:r w:rsidRPr="00F377F7">
        <w:rPr>
          <w:b/>
          <w:color w:val="000000"/>
          <w:sz w:val="22"/>
          <w:szCs w:val="22"/>
        </w:rPr>
        <w:t xml:space="preserve">The Rule </w:t>
      </w:r>
      <w:proofErr w:type="gramStart"/>
      <w:r w:rsidRPr="00F377F7">
        <w:rPr>
          <w:b/>
          <w:color w:val="000000"/>
          <w:sz w:val="22"/>
          <w:szCs w:val="22"/>
        </w:rPr>
        <w:t>will be amended</w:t>
      </w:r>
      <w:proofErr w:type="gramEnd"/>
      <w:r w:rsidRPr="00F377F7">
        <w:rPr>
          <w:b/>
          <w:color w:val="000000"/>
          <w:sz w:val="22"/>
          <w:szCs w:val="22"/>
        </w:rPr>
        <w:t xml:space="preserve"> to provide that the public list will be published within ten (10) days following the close of any filing period, or the next business day following a weekend or legal holiday, and will remain online for a period of five (5) years. </w:t>
      </w:r>
    </w:p>
    <w:p w:rsidR="008F63FF" w:rsidRPr="00F377F7" w:rsidRDefault="008F63FF" w:rsidP="008F63FF">
      <w:pPr>
        <w:rPr>
          <w:sz w:val="22"/>
          <w:szCs w:val="22"/>
        </w:rPr>
      </w:pPr>
    </w:p>
    <w:p w:rsidR="008F63FF" w:rsidRPr="00F377F7" w:rsidRDefault="008F63FF" w:rsidP="008F63FF">
      <w:pPr>
        <w:pStyle w:val="ListParagraph"/>
        <w:numPr>
          <w:ilvl w:val="0"/>
          <w:numId w:val="1"/>
        </w:numPr>
        <w:rPr>
          <w:sz w:val="22"/>
          <w:szCs w:val="22"/>
        </w:rPr>
      </w:pPr>
      <w:r w:rsidRPr="00F377F7">
        <w:rPr>
          <w:sz w:val="22"/>
          <w:szCs w:val="22"/>
        </w:rPr>
        <w:t xml:space="preserve">Clarify that joint fundraising agreements and reports filed by joint fundraising committees </w:t>
      </w:r>
      <w:proofErr w:type="gramStart"/>
      <w:r w:rsidRPr="00F377F7">
        <w:rPr>
          <w:sz w:val="22"/>
          <w:szCs w:val="22"/>
        </w:rPr>
        <w:t>will be made</w:t>
      </w:r>
      <w:proofErr w:type="gramEnd"/>
      <w:r w:rsidRPr="00F377F7">
        <w:rPr>
          <w:sz w:val="22"/>
          <w:szCs w:val="22"/>
        </w:rPr>
        <w:t xml:space="preserve"> publicly available and accessible online.</w:t>
      </w:r>
    </w:p>
    <w:p w:rsidR="008F63FF" w:rsidRPr="00F377F7" w:rsidRDefault="008F63FF" w:rsidP="008F63FF">
      <w:pPr>
        <w:autoSpaceDE w:val="0"/>
        <w:autoSpaceDN w:val="0"/>
        <w:adjustRightInd w:val="0"/>
        <w:rPr>
          <w:color w:val="000000"/>
          <w:sz w:val="22"/>
          <w:szCs w:val="22"/>
        </w:rPr>
      </w:pPr>
    </w:p>
    <w:p w:rsidR="008F63FF" w:rsidRPr="00F377F7" w:rsidRDefault="008F63FF" w:rsidP="008F63FF">
      <w:pPr>
        <w:autoSpaceDE w:val="0"/>
        <w:autoSpaceDN w:val="0"/>
        <w:adjustRightInd w:val="0"/>
        <w:rPr>
          <w:b/>
          <w:color w:val="000000"/>
          <w:sz w:val="22"/>
          <w:szCs w:val="22"/>
        </w:rPr>
      </w:pPr>
      <w:r w:rsidRPr="00F377F7">
        <w:rPr>
          <w:b/>
          <w:color w:val="000000"/>
          <w:sz w:val="22"/>
          <w:szCs w:val="22"/>
        </w:rPr>
        <w:t>RESPONSE:</w:t>
      </w:r>
    </w:p>
    <w:p w:rsidR="008F63FF" w:rsidRPr="00F377F7" w:rsidRDefault="008F63FF" w:rsidP="008F63FF">
      <w:pPr>
        <w:autoSpaceDE w:val="0"/>
        <w:autoSpaceDN w:val="0"/>
        <w:adjustRightInd w:val="0"/>
        <w:rPr>
          <w:color w:val="000000"/>
          <w:sz w:val="22"/>
          <w:szCs w:val="22"/>
        </w:rPr>
      </w:pPr>
    </w:p>
    <w:p w:rsidR="008F63FF" w:rsidRPr="00F377F7" w:rsidRDefault="008F63FF" w:rsidP="008F63FF">
      <w:pPr>
        <w:autoSpaceDE w:val="0"/>
        <w:autoSpaceDN w:val="0"/>
        <w:adjustRightInd w:val="0"/>
        <w:rPr>
          <w:b/>
          <w:color w:val="000000"/>
          <w:sz w:val="22"/>
          <w:szCs w:val="22"/>
        </w:rPr>
      </w:pPr>
      <w:r w:rsidRPr="00F377F7">
        <w:rPr>
          <w:b/>
          <w:color w:val="000000"/>
          <w:sz w:val="22"/>
          <w:szCs w:val="22"/>
        </w:rPr>
        <w:t>This clarification is provided by statute in W. Va. Code § 3-8-</w:t>
      </w:r>
      <w:proofErr w:type="gramStart"/>
      <w:r w:rsidRPr="00F377F7">
        <w:rPr>
          <w:b/>
          <w:color w:val="000000"/>
          <w:sz w:val="22"/>
          <w:szCs w:val="22"/>
        </w:rPr>
        <w:t>9c(</w:t>
      </w:r>
      <w:proofErr w:type="gramEnd"/>
      <w:r w:rsidRPr="00F377F7">
        <w:rPr>
          <w:b/>
          <w:color w:val="000000"/>
          <w:sz w:val="22"/>
          <w:szCs w:val="22"/>
        </w:rPr>
        <w:t xml:space="preserve">b), which provides, </w:t>
      </w:r>
    </w:p>
    <w:p w:rsidR="008F63FF" w:rsidRPr="00F377F7" w:rsidRDefault="008F63FF" w:rsidP="008F63FF">
      <w:pPr>
        <w:autoSpaceDE w:val="0"/>
        <w:autoSpaceDN w:val="0"/>
        <w:adjustRightInd w:val="0"/>
        <w:rPr>
          <w:b/>
          <w:color w:val="000000"/>
          <w:sz w:val="22"/>
          <w:szCs w:val="22"/>
        </w:rPr>
      </w:pPr>
    </w:p>
    <w:p w:rsidR="008F63FF" w:rsidRPr="00F377F7" w:rsidRDefault="008F63FF" w:rsidP="008F63FF">
      <w:pPr>
        <w:autoSpaceDE w:val="0"/>
        <w:autoSpaceDN w:val="0"/>
        <w:adjustRightInd w:val="0"/>
        <w:ind w:left="720"/>
        <w:rPr>
          <w:color w:val="000000"/>
          <w:sz w:val="22"/>
          <w:szCs w:val="22"/>
        </w:rPr>
      </w:pPr>
      <w:r w:rsidRPr="00F377F7">
        <w:rPr>
          <w:b/>
          <w:color w:val="000000"/>
          <w:sz w:val="22"/>
          <w:szCs w:val="22"/>
        </w:rPr>
        <w:t xml:space="preserve">A written joint fund-raising agreement </w:t>
      </w:r>
      <w:proofErr w:type="gramStart"/>
      <w:r w:rsidRPr="00F377F7">
        <w:rPr>
          <w:b/>
          <w:color w:val="000000"/>
          <w:sz w:val="22"/>
          <w:szCs w:val="22"/>
        </w:rPr>
        <w:t>must be filed</w:t>
      </w:r>
      <w:proofErr w:type="gramEnd"/>
      <w:r w:rsidRPr="00F377F7">
        <w:rPr>
          <w:b/>
          <w:color w:val="000000"/>
          <w:sz w:val="22"/>
          <w:szCs w:val="22"/>
        </w:rPr>
        <w:t xml:space="preserve"> with the Secretary of State and must provide terms for the allocation of fund-raising proceeds between or among political committees engaging in the joint fund-raising effort. The Secretary of State shall post all joint fund-raising agreements on the Internet within 10 business days from the date the agreement </w:t>
      </w:r>
      <w:proofErr w:type="gramStart"/>
      <w:r w:rsidRPr="00F377F7">
        <w:rPr>
          <w:b/>
          <w:color w:val="000000"/>
          <w:sz w:val="22"/>
          <w:szCs w:val="22"/>
        </w:rPr>
        <w:t>is filed</w:t>
      </w:r>
      <w:proofErr w:type="gramEnd"/>
      <w:r w:rsidRPr="00F377F7">
        <w:rPr>
          <w:b/>
          <w:color w:val="000000"/>
          <w:sz w:val="22"/>
          <w:szCs w:val="22"/>
        </w:rPr>
        <w:t>.</w:t>
      </w:r>
    </w:p>
    <w:p w:rsidR="008F63FF" w:rsidRPr="008F63FF" w:rsidRDefault="008F63FF" w:rsidP="008F63FF">
      <w:pPr>
        <w:rPr>
          <w:sz w:val="22"/>
          <w:szCs w:val="22"/>
        </w:rPr>
      </w:pPr>
    </w:p>
    <w:sectPr w:rsidR="008F63FF" w:rsidRPr="008F63FF" w:rsidSect="009D3E1A">
      <w:headerReference w:type="default" r:id="rId8"/>
      <w:footerReference w:type="default" r:id="rId9"/>
      <w:footerReference w:type="first" r:id="rId10"/>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5DE9" w:rsidRDefault="006A5DE9" w:rsidP="00E35431">
      <w:r>
        <w:separator/>
      </w:r>
    </w:p>
  </w:endnote>
  <w:endnote w:type="continuationSeparator" w:id="0">
    <w:p w:rsidR="006A5DE9" w:rsidRDefault="006A5DE9" w:rsidP="00E35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enturySchoolbook-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8049858"/>
      <w:docPartObj>
        <w:docPartGallery w:val="Page Numbers (Bottom of Page)"/>
        <w:docPartUnique/>
      </w:docPartObj>
    </w:sdtPr>
    <w:sdtEndPr>
      <w:rPr>
        <w:noProof/>
      </w:rPr>
    </w:sdtEndPr>
    <w:sdtContent>
      <w:p w:rsidR="006A5DE9" w:rsidRDefault="006A5DE9">
        <w:pPr>
          <w:pStyle w:val="Footer"/>
          <w:jc w:val="center"/>
        </w:pPr>
        <w:r>
          <w:fldChar w:fldCharType="begin"/>
        </w:r>
        <w:r>
          <w:instrText xml:space="preserve"> PAGE   \* MERGEFORMAT </w:instrText>
        </w:r>
        <w:r>
          <w:fldChar w:fldCharType="separate"/>
        </w:r>
        <w:r w:rsidR="009D3E1A">
          <w:rPr>
            <w:noProof/>
          </w:rPr>
          <w:t>14</w:t>
        </w:r>
        <w:r>
          <w:rPr>
            <w:noProof/>
          </w:rPr>
          <w:fldChar w:fldCharType="end"/>
        </w:r>
      </w:p>
    </w:sdtContent>
  </w:sdt>
  <w:p w:rsidR="006A5DE9" w:rsidRDefault="006A5D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4694304"/>
      <w:docPartObj>
        <w:docPartGallery w:val="Page Numbers (Bottom of Page)"/>
        <w:docPartUnique/>
      </w:docPartObj>
    </w:sdtPr>
    <w:sdtEndPr>
      <w:rPr>
        <w:noProof/>
      </w:rPr>
    </w:sdtEndPr>
    <w:sdtContent>
      <w:p w:rsidR="009D3E1A" w:rsidRDefault="009D3E1A">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9D3E1A" w:rsidRDefault="009D3E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5DE9" w:rsidRDefault="006A5DE9" w:rsidP="00E35431">
      <w:r>
        <w:separator/>
      </w:r>
    </w:p>
  </w:footnote>
  <w:footnote w:type="continuationSeparator" w:id="0">
    <w:p w:rsidR="006A5DE9" w:rsidRDefault="006A5DE9" w:rsidP="00E35431">
      <w:r>
        <w:continuationSeparator/>
      </w:r>
    </w:p>
  </w:footnote>
  <w:footnote w:id="1">
    <w:p w:rsidR="006A5DE9" w:rsidRDefault="006A5DE9">
      <w:pPr>
        <w:pStyle w:val="FootnoteText"/>
      </w:pPr>
      <w:r>
        <w:rPr>
          <w:rStyle w:val="FootnoteReference"/>
        </w:rPr>
        <w:footnoteRef/>
      </w:r>
      <w:r>
        <w:t xml:space="preserve"> </w:t>
      </w:r>
      <w:r w:rsidRPr="00C209FB">
        <w:t>W. Va. Code § 3-8-</w:t>
      </w:r>
      <w:proofErr w:type="gramStart"/>
      <w:r w:rsidRPr="00C209FB">
        <w:t>1a(</w:t>
      </w:r>
      <w:proofErr w:type="gramEnd"/>
      <w:r w:rsidRPr="00C209FB">
        <w:t>9).</w:t>
      </w:r>
    </w:p>
  </w:footnote>
  <w:footnote w:id="2">
    <w:p w:rsidR="006A5DE9" w:rsidRDefault="006A5DE9">
      <w:pPr>
        <w:pStyle w:val="FootnoteText"/>
      </w:pPr>
      <w:r>
        <w:rPr>
          <w:rStyle w:val="FootnoteReference"/>
        </w:rPr>
        <w:footnoteRef/>
      </w:r>
      <w:r>
        <w:t xml:space="preserve"> </w:t>
      </w:r>
      <w:r w:rsidRPr="00C209FB">
        <w:t>See W. Va. Code § 3-8-</w:t>
      </w:r>
      <w:proofErr w:type="gramStart"/>
      <w:r w:rsidRPr="00C209FB">
        <w:t>5c(</w:t>
      </w:r>
      <w:proofErr w:type="gramEnd"/>
      <w:r w:rsidRPr="00C209FB">
        <w:t>2)(b).</w:t>
      </w:r>
    </w:p>
  </w:footnote>
  <w:footnote w:id="3">
    <w:p w:rsidR="006A5DE9" w:rsidRDefault="006A5DE9" w:rsidP="00C209FB">
      <w:pPr>
        <w:pStyle w:val="FootnoteText"/>
      </w:pPr>
      <w:r>
        <w:rPr>
          <w:rStyle w:val="FootnoteReference"/>
        </w:rPr>
        <w:footnoteRef/>
      </w:r>
      <w:r>
        <w:t xml:space="preserve"> W.Va. Code § 3-8-1a(14) (defining “electioneering communication” as a paid communication</w:t>
      </w:r>
    </w:p>
    <w:p w:rsidR="006A5DE9" w:rsidRDefault="006A5DE9" w:rsidP="00C209FB">
      <w:pPr>
        <w:pStyle w:val="FootnoteText"/>
      </w:pPr>
      <w:r>
        <w:t>made via certain media that “refers to a clearly identified candidate” and is “publicly</w:t>
      </w:r>
    </w:p>
    <w:p w:rsidR="006A5DE9" w:rsidRDefault="006A5DE9" w:rsidP="00C209FB">
      <w:pPr>
        <w:pStyle w:val="FootnoteText"/>
      </w:pPr>
      <w:proofErr w:type="gramStart"/>
      <w:r>
        <w:t>disseminated</w:t>
      </w:r>
      <w:proofErr w:type="gramEnd"/>
      <w:r>
        <w:t xml:space="preserve"> within” thirty days of a primary or sixty days of a general or special election).</w:t>
      </w:r>
    </w:p>
  </w:footnote>
  <w:footnote w:id="4">
    <w:p w:rsidR="006A5DE9" w:rsidRDefault="006A5DE9">
      <w:pPr>
        <w:pStyle w:val="FootnoteText"/>
      </w:pPr>
      <w:r>
        <w:rPr>
          <w:rStyle w:val="FootnoteReference"/>
        </w:rPr>
        <w:footnoteRef/>
      </w:r>
      <w:r>
        <w:t xml:space="preserve"> </w:t>
      </w:r>
      <w:r w:rsidRPr="00141292">
        <w:t>See W.Va. Code § 3-8-</w:t>
      </w:r>
      <w:proofErr w:type="gramStart"/>
      <w:r w:rsidRPr="00141292">
        <w:t>1a(</w:t>
      </w:r>
      <w:proofErr w:type="gramEnd"/>
      <w:r w:rsidRPr="00141292">
        <w:t>14).</w:t>
      </w:r>
    </w:p>
  </w:footnote>
  <w:footnote w:id="5">
    <w:p w:rsidR="006A5DE9" w:rsidRDefault="006A5DE9">
      <w:pPr>
        <w:pStyle w:val="FootnoteText"/>
      </w:pPr>
      <w:r>
        <w:rPr>
          <w:rStyle w:val="FootnoteReference"/>
        </w:rPr>
        <w:footnoteRef/>
      </w:r>
      <w:r>
        <w:t xml:space="preserve"> </w:t>
      </w:r>
      <w:r w:rsidRPr="00141292">
        <w:t>11 C.F.R. § 109.21(c</w:t>
      </w:r>
      <w:proofErr w:type="gramStart"/>
      <w:r w:rsidRPr="00141292">
        <w:t>)(</w:t>
      </w:r>
      <w:proofErr w:type="gramEnd"/>
      <w:r w:rsidRPr="00141292">
        <w:t>1); see also 52 U.S.C. § 30116(a)(7)(C).</w:t>
      </w:r>
    </w:p>
  </w:footnote>
  <w:footnote w:id="6">
    <w:p w:rsidR="006A5DE9" w:rsidRDefault="006A5DE9" w:rsidP="00141292">
      <w:pPr>
        <w:pStyle w:val="FootnoteText"/>
      </w:pPr>
      <w:r>
        <w:rPr>
          <w:rStyle w:val="FootnoteReference"/>
        </w:rPr>
        <w:footnoteRef/>
      </w:r>
      <w:r>
        <w:t xml:space="preserve"> The Code broadly defines “person” to include an individual, corporation, partnership, committee, association, and any other organization or group of individuals. W. Va. Code § 3-8-</w:t>
      </w:r>
      <w:proofErr w:type="gramStart"/>
      <w:r>
        <w:t>1a(</w:t>
      </w:r>
      <w:proofErr w:type="gramEnd"/>
      <w:r>
        <w:t>27).</w:t>
      </w:r>
    </w:p>
  </w:footnote>
  <w:footnote w:id="7">
    <w:p w:rsidR="006A5DE9" w:rsidRDefault="006A5DE9">
      <w:pPr>
        <w:pStyle w:val="FootnoteText"/>
      </w:pPr>
      <w:r>
        <w:rPr>
          <w:rStyle w:val="FootnoteReference"/>
        </w:rPr>
        <w:footnoteRef/>
      </w:r>
      <w:r>
        <w:t xml:space="preserve"> </w:t>
      </w:r>
      <w:r w:rsidRPr="00141292">
        <w:t>See W. Va. Code § 3-8-</w:t>
      </w:r>
      <w:proofErr w:type="gramStart"/>
      <w:r w:rsidRPr="00141292">
        <w:t>1a(</w:t>
      </w:r>
      <w:proofErr w:type="gramEnd"/>
      <w:r w:rsidRPr="00141292">
        <w:t>28).</w:t>
      </w:r>
    </w:p>
  </w:footnote>
  <w:footnote w:id="8">
    <w:p w:rsidR="006A5DE9" w:rsidRDefault="006A5DE9" w:rsidP="00141292">
      <w:pPr>
        <w:pStyle w:val="FootnoteText"/>
      </w:pPr>
      <w:r>
        <w:rPr>
          <w:rStyle w:val="FootnoteReference"/>
        </w:rPr>
        <w:footnoteRef/>
      </w:r>
      <w:r>
        <w:t xml:space="preserve"> Id. (defining “political action committee” as a committee, “the primary purpose of which is to</w:t>
      </w:r>
    </w:p>
    <w:p w:rsidR="006A5DE9" w:rsidRDefault="006A5DE9" w:rsidP="00141292">
      <w:pPr>
        <w:pStyle w:val="FootnoteText"/>
      </w:pPr>
      <w:r>
        <w:t>support or oppose” the nomination or election of West Virginia candidates) (emphasis added).</w:t>
      </w:r>
    </w:p>
  </w:footnote>
  <w:footnote w:id="9">
    <w:p w:rsidR="006A5DE9" w:rsidRDefault="006A5DE9" w:rsidP="00141292">
      <w:pPr>
        <w:pStyle w:val="FootnoteText"/>
      </w:pPr>
      <w:r>
        <w:rPr>
          <w:rStyle w:val="FootnoteReference"/>
        </w:rPr>
        <w:footnoteRef/>
      </w:r>
      <w:r>
        <w:t xml:space="preserve"> Mont. Admin. R. 44.11.203. Under Montana’s campaign finance law, an organization that </w:t>
      </w:r>
      <w:proofErr w:type="gramStart"/>
      <w:r>
        <w:t>is not organized</w:t>
      </w:r>
      <w:proofErr w:type="gramEnd"/>
      <w:r>
        <w:t xml:space="preserve"> for the “primary purpose” of supporting or opposing state candidates or ballot issues may still qualify as an “incidental committee.” Mont. Code Ann. § 13-1-101(23). Although considered political committees under state law, incidental committees are subject to more relaxed disclosure requirements than other types of political committees with the “primary purpose” of influencing Montana elections. Mont. Code Ann. § 13-37-232.</w:t>
      </w:r>
    </w:p>
  </w:footnote>
  <w:footnote w:id="10">
    <w:p w:rsidR="006A5DE9" w:rsidRDefault="006A5DE9">
      <w:pPr>
        <w:pStyle w:val="FootnoteText"/>
      </w:pPr>
      <w:r>
        <w:rPr>
          <w:rStyle w:val="FootnoteReference"/>
        </w:rPr>
        <w:footnoteRef/>
      </w:r>
      <w:r>
        <w:t xml:space="preserve"> </w:t>
      </w:r>
      <w:r w:rsidRPr="00141292">
        <w:t>Mont. Admin. R. 44.11.203(2)-(3).</w:t>
      </w:r>
    </w:p>
  </w:footnote>
  <w:footnote w:id="11">
    <w:p w:rsidR="006A5DE9" w:rsidRDefault="006A5DE9">
      <w:pPr>
        <w:pStyle w:val="FootnoteText"/>
      </w:pPr>
      <w:r>
        <w:rPr>
          <w:rStyle w:val="FootnoteReference"/>
        </w:rPr>
        <w:footnoteRef/>
      </w:r>
      <w:r>
        <w:t xml:space="preserve"> </w:t>
      </w:r>
      <w:r w:rsidRPr="00141292">
        <w:t>Mont. Admin. R. 44.11.203(5).</w:t>
      </w:r>
    </w:p>
  </w:footnote>
  <w:footnote w:id="12">
    <w:p w:rsidR="006A5DE9" w:rsidRDefault="006A5DE9" w:rsidP="00E476F9">
      <w:pPr>
        <w:pStyle w:val="FootnoteText"/>
      </w:pPr>
      <w:r>
        <w:rPr>
          <w:rStyle w:val="FootnoteReference"/>
        </w:rPr>
        <w:footnoteRef/>
      </w:r>
      <w:r>
        <w:t xml:space="preserve"> The West Virginia Code defines “expressly advocating” to cover communications that overtly support or oppose a candidate by using language like “vote for” or “vote against.” W. Va. Code § 3-8-</w:t>
      </w:r>
      <w:proofErr w:type="gramStart"/>
      <w:r>
        <w:t>1a(</w:t>
      </w:r>
      <w:proofErr w:type="gramEnd"/>
      <w:r>
        <w:t>15). By comparison, supporting or opposing” a candidate or ballot issue embraces a wider range of election-related communications that may not amount to express advocacy.</w:t>
      </w:r>
    </w:p>
  </w:footnote>
  <w:footnote w:id="13">
    <w:p w:rsidR="006A5DE9" w:rsidRDefault="006A5DE9" w:rsidP="00E476F9">
      <w:pPr>
        <w:pStyle w:val="FootnoteText"/>
      </w:pPr>
      <w:r>
        <w:rPr>
          <w:rStyle w:val="FootnoteReference"/>
        </w:rPr>
        <w:footnoteRef/>
      </w:r>
      <w:r>
        <w:t xml:space="preserve"> See W. Va. Code § 3-8-</w:t>
      </w:r>
      <w:proofErr w:type="gramStart"/>
      <w:r>
        <w:t>1a(</w:t>
      </w:r>
      <w:proofErr w:type="gramEnd"/>
      <w:r>
        <w:t>10) (defining “corporate political action committee” as a “a separate segregated fund of a corporation that may only accept contributions from its restricted group as outlined by the rules of the State Election Commission.”) (</w:t>
      </w:r>
      <w:proofErr w:type="gramStart"/>
      <w:r>
        <w:t>emphasis</w:t>
      </w:r>
      <w:proofErr w:type="gramEnd"/>
      <w:r>
        <w:t xml:space="preserve"> added); see also id. § 3-8-8(c</w:t>
      </w:r>
      <w:proofErr w:type="gramStart"/>
      <w:r>
        <w:t>)(</w:t>
      </w:r>
      <w:proofErr w:type="gramEnd"/>
      <w:r>
        <w:t>2)(D)-(E).</w:t>
      </w:r>
    </w:p>
  </w:footnote>
  <w:footnote w:id="14">
    <w:p w:rsidR="006A5DE9" w:rsidRDefault="006A5DE9">
      <w:pPr>
        <w:pStyle w:val="FootnoteText"/>
      </w:pPr>
      <w:r>
        <w:rPr>
          <w:rStyle w:val="FootnoteReference"/>
        </w:rPr>
        <w:footnoteRef/>
      </w:r>
      <w:r>
        <w:t xml:space="preserve"> </w:t>
      </w:r>
      <w:r w:rsidRPr="00E476F9">
        <w:t>W. Va. Code § 3-8-8(c</w:t>
      </w:r>
      <w:proofErr w:type="gramStart"/>
      <w:r w:rsidRPr="00E476F9">
        <w:t>)(</w:t>
      </w:r>
      <w:proofErr w:type="gramEnd"/>
      <w:r w:rsidRPr="00E476F9">
        <w:t>2)(D)-(E).</w:t>
      </w:r>
    </w:p>
  </w:footnote>
  <w:footnote w:id="15">
    <w:p w:rsidR="006A5DE9" w:rsidRDefault="006A5DE9" w:rsidP="00E476F9">
      <w:pPr>
        <w:pStyle w:val="FootnoteText"/>
      </w:pPr>
      <w:r>
        <w:rPr>
          <w:rStyle w:val="FootnoteReference"/>
        </w:rPr>
        <w:footnoteRef/>
      </w:r>
      <w:r>
        <w:t xml:space="preserve"> Alternatively, since corporate and membership organizations’ political activity currently is the subject of a separate rulemaking, the Commission could move provisions applicable to corporations and membership organizations in § 146-3 to § 146-1 as part of its amendments. See Notice of Public Comment Period, Amendment to C.S.R. § 146-1, “Corporate &amp; Membership Organization Political Activity”, Vol. XXXVI, W. Va. Reg., Issue No. 23 (June 7, 2019).</w:t>
      </w:r>
    </w:p>
  </w:footnote>
  <w:footnote w:id="16">
    <w:p w:rsidR="006A5DE9" w:rsidRDefault="006A5DE9">
      <w:pPr>
        <w:pStyle w:val="FootnoteText"/>
      </w:pPr>
      <w:r>
        <w:rPr>
          <w:rStyle w:val="FootnoteReference"/>
        </w:rPr>
        <w:footnoteRef/>
      </w:r>
      <w:r>
        <w:t xml:space="preserve"> </w:t>
      </w:r>
      <w:proofErr w:type="gramStart"/>
      <w:r w:rsidRPr="00E476F9">
        <w:t>11</w:t>
      </w:r>
      <w:proofErr w:type="gramEnd"/>
      <w:r w:rsidRPr="00E476F9">
        <w:t xml:space="preserve"> C.F.R. § 114.1(j).</w:t>
      </w:r>
    </w:p>
  </w:footnote>
  <w:footnote w:id="17">
    <w:p w:rsidR="006A5DE9" w:rsidRDefault="006A5DE9">
      <w:pPr>
        <w:pStyle w:val="FootnoteText"/>
      </w:pPr>
      <w:r>
        <w:rPr>
          <w:rStyle w:val="FootnoteReference"/>
        </w:rPr>
        <w:footnoteRef/>
      </w:r>
      <w:r>
        <w:t xml:space="preserve"> </w:t>
      </w:r>
      <w:r w:rsidRPr="00E476F9">
        <w:t>W. Va. Code § 3-8-</w:t>
      </w:r>
      <w:proofErr w:type="gramStart"/>
      <w:r w:rsidRPr="00E476F9">
        <w:t>5c(</w:t>
      </w:r>
      <w:proofErr w:type="gramEnd"/>
      <w:r w:rsidRPr="00E476F9">
        <w:t>a)(1).</w:t>
      </w:r>
    </w:p>
  </w:footnote>
  <w:footnote w:id="18">
    <w:p w:rsidR="006A5DE9" w:rsidRDefault="006A5DE9">
      <w:pPr>
        <w:pStyle w:val="FootnoteText"/>
      </w:pPr>
      <w:r>
        <w:rPr>
          <w:rStyle w:val="FootnoteReference"/>
        </w:rPr>
        <w:footnoteRef/>
      </w:r>
      <w:r>
        <w:t xml:space="preserve"> </w:t>
      </w:r>
      <w:r w:rsidRPr="00E476F9">
        <w:t>11 C.F.R. § 100.52(d</w:t>
      </w:r>
      <w:proofErr w:type="gramStart"/>
      <w:r w:rsidRPr="00E476F9">
        <w:t>)(</w:t>
      </w:r>
      <w:proofErr w:type="gramEnd"/>
      <w:r w:rsidRPr="00E476F9">
        <w:t>2).</w:t>
      </w:r>
    </w:p>
  </w:footnote>
  <w:footnote w:id="19">
    <w:p w:rsidR="006A5DE9" w:rsidRDefault="006A5DE9">
      <w:pPr>
        <w:pStyle w:val="FootnoteText"/>
      </w:pPr>
      <w:r>
        <w:rPr>
          <w:rStyle w:val="FootnoteReference"/>
        </w:rPr>
        <w:footnoteRef/>
      </w:r>
      <w:r>
        <w:t xml:space="preserve"> </w:t>
      </w:r>
      <w:r w:rsidRPr="00E476F9">
        <w:t>Id.</w:t>
      </w:r>
    </w:p>
  </w:footnote>
  <w:footnote w:id="20">
    <w:p w:rsidR="006A5DE9" w:rsidRDefault="006A5DE9">
      <w:pPr>
        <w:pStyle w:val="FootnoteText"/>
      </w:pPr>
      <w:r>
        <w:rPr>
          <w:rStyle w:val="FootnoteReference"/>
        </w:rPr>
        <w:footnoteRef/>
      </w:r>
      <w:r>
        <w:t xml:space="preserve"> </w:t>
      </w:r>
      <w:r w:rsidRPr="00E476F9">
        <w:t>Id.</w:t>
      </w:r>
    </w:p>
  </w:footnote>
  <w:footnote w:id="21">
    <w:p w:rsidR="006A5DE9" w:rsidRDefault="006A5DE9">
      <w:pPr>
        <w:pStyle w:val="FootnoteText"/>
      </w:pPr>
      <w:r>
        <w:rPr>
          <w:rStyle w:val="FootnoteReference"/>
        </w:rPr>
        <w:footnoteRef/>
      </w:r>
      <w:r>
        <w:t xml:space="preserve"> </w:t>
      </w:r>
      <w:r w:rsidRPr="00E476F9">
        <w:t>See W. Va. Code § 3-8-5g.</w:t>
      </w:r>
    </w:p>
  </w:footnote>
  <w:footnote w:id="22">
    <w:p w:rsidR="006A5DE9" w:rsidRDefault="006A5DE9" w:rsidP="00E476F9">
      <w:pPr>
        <w:pStyle w:val="FootnoteText"/>
      </w:pPr>
      <w:r>
        <w:rPr>
          <w:rStyle w:val="FootnoteReference"/>
        </w:rPr>
        <w:footnoteRef/>
      </w:r>
      <w:r>
        <w:t xml:space="preserve"> For example, the Code’s prohibition only refers to a foreign national making a contribution to “a candidate’s committee, a political committee, or a political party,” and it does not explicitly bar foreign nationals from contributing to other types of entities, such as a 501(c</w:t>
      </w:r>
      <w:proofErr w:type="gramStart"/>
      <w:r>
        <w:t>)(</w:t>
      </w:r>
      <w:proofErr w:type="gramEnd"/>
      <w:r>
        <w:t>4) organization, that might subsequently make campaign-related expenditures in West Virginia elections. W. Va. Code § 3-8-</w:t>
      </w:r>
      <w:proofErr w:type="gramStart"/>
      <w:r>
        <w:t>5g(</w:t>
      </w:r>
      <w:proofErr w:type="gramEnd"/>
      <w:r>
        <w:t>a).</w:t>
      </w:r>
    </w:p>
  </w:footnote>
  <w:footnote w:id="23">
    <w:p w:rsidR="006A5DE9" w:rsidRDefault="006A5DE9">
      <w:pPr>
        <w:pStyle w:val="FootnoteText"/>
      </w:pPr>
      <w:r>
        <w:rPr>
          <w:rStyle w:val="FootnoteReference"/>
        </w:rPr>
        <w:footnoteRef/>
      </w:r>
      <w:r>
        <w:t xml:space="preserve"> </w:t>
      </w:r>
      <w:r w:rsidRPr="00E476F9">
        <w:t>See 52 U.S.C. § 30121.</w:t>
      </w:r>
    </w:p>
  </w:footnote>
  <w:footnote w:id="24">
    <w:p w:rsidR="006A5DE9" w:rsidRDefault="006A5DE9">
      <w:pPr>
        <w:pStyle w:val="FootnoteText"/>
      </w:pPr>
      <w:r>
        <w:rPr>
          <w:rStyle w:val="FootnoteReference"/>
        </w:rPr>
        <w:footnoteRef/>
      </w:r>
      <w:r>
        <w:t xml:space="preserve"> </w:t>
      </w:r>
      <w:r w:rsidRPr="00E476F9">
        <w:t>52 U.S.C. § 30121(a</w:t>
      </w:r>
      <w:proofErr w:type="gramStart"/>
      <w:r w:rsidRPr="00E476F9">
        <w:t>)(</w:t>
      </w:r>
      <w:proofErr w:type="gramEnd"/>
      <w:r w:rsidRPr="00E476F9">
        <w:t>1)(A) (emphasis added).</w:t>
      </w:r>
    </w:p>
  </w:footnote>
  <w:footnote w:id="25">
    <w:p w:rsidR="006A5DE9" w:rsidRDefault="006A5DE9" w:rsidP="000A2458">
      <w:pPr>
        <w:pStyle w:val="FootnoteText"/>
      </w:pPr>
      <w:r>
        <w:rPr>
          <w:rStyle w:val="FootnoteReference"/>
        </w:rPr>
        <w:footnoteRef/>
      </w:r>
      <w:r>
        <w:t xml:space="preserve"> § 146-3-7.3 of the proposed rule also prohibits any person from using excess campaign assets “for personal economic benefit or use.”</w:t>
      </w:r>
    </w:p>
  </w:footnote>
  <w:footnote w:id="26">
    <w:p w:rsidR="006A5DE9" w:rsidRDefault="006A5DE9" w:rsidP="000A2458">
      <w:pPr>
        <w:pStyle w:val="FootnoteText"/>
      </w:pPr>
      <w:r>
        <w:rPr>
          <w:rStyle w:val="FootnoteReference"/>
        </w:rPr>
        <w:footnoteRef/>
      </w:r>
      <w:r>
        <w:t xml:space="preserve"> The Code does dictate “lawful” election expenses that </w:t>
      </w:r>
      <w:proofErr w:type="gramStart"/>
      <w:r>
        <w:t>may be made</w:t>
      </w:r>
      <w:proofErr w:type="gramEnd"/>
      <w:r>
        <w:t xml:space="preserve"> by a political committee’s treasurer or financial agent, but that statutory section does not explicitly address personal use of campaign funds. See W. Va. Code § 3-8-9.</w:t>
      </w:r>
    </w:p>
  </w:footnote>
  <w:footnote w:id="27">
    <w:p w:rsidR="006A5DE9" w:rsidRDefault="006A5DE9">
      <w:pPr>
        <w:pStyle w:val="FootnoteText"/>
      </w:pPr>
      <w:r>
        <w:rPr>
          <w:rStyle w:val="FootnoteReference"/>
        </w:rPr>
        <w:footnoteRef/>
      </w:r>
      <w:r>
        <w:t xml:space="preserve"> </w:t>
      </w:r>
      <w:proofErr w:type="gramStart"/>
      <w:r w:rsidRPr="000A2458">
        <w:t>11</w:t>
      </w:r>
      <w:proofErr w:type="gramEnd"/>
      <w:r w:rsidRPr="000A2458">
        <w:t xml:space="preserve"> C.F.R. § 113.1(g).</w:t>
      </w:r>
    </w:p>
  </w:footnote>
  <w:footnote w:id="28">
    <w:p w:rsidR="006A5DE9" w:rsidRDefault="006A5DE9">
      <w:pPr>
        <w:pStyle w:val="FootnoteText"/>
      </w:pPr>
      <w:r>
        <w:rPr>
          <w:rStyle w:val="FootnoteReference"/>
        </w:rPr>
        <w:footnoteRef/>
      </w:r>
      <w:r>
        <w:t xml:space="preserve"> </w:t>
      </w:r>
      <w:r w:rsidRPr="000A2458">
        <w:t>Id.</w:t>
      </w:r>
    </w:p>
  </w:footnote>
  <w:footnote w:id="29">
    <w:p w:rsidR="006A5DE9" w:rsidRDefault="006A5DE9">
      <w:pPr>
        <w:pStyle w:val="FootnoteText"/>
      </w:pPr>
      <w:r>
        <w:rPr>
          <w:rStyle w:val="FootnoteReference"/>
        </w:rPr>
        <w:footnoteRef/>
      </w:r>
      <w:r>
        <w:t xml:space="preserve"> </w:t>
      </w:r>
      <w:r w:rsidRPr="000A2458">
        <w:t>See W. Va. Code § 3-8-</w:t>
      </w:r>
      <w:proofErr w:type="gramStart"/>
      <w:r w:rsidRPr="000A2458">
        <w:t>1a(</w:t>
      </w:r>
      <w:proofErr w:type="gramEnd"/>
      <w:r w:rsidRPr="000A2458">
        <w:t>32).</w:t>
      </w:r>
    </w:p>
  </w:footnote>
  <w:footnote w:id="30">
    <w:p w:rsidR="006A5DE9" w:rsidRDefault="006A5DE9">
      <w:pPr>
        <w:pStyle w:val="FootnoteText"/>
      </w:pPr>
      <w:r>
        <w:rPr>
          <w:rStyle w:val="FootnoteReference"/>
        </w:rPr>
        <w:footnoteRef/>
      </w:r>
      <w:r>
        <w:t xml:space="preserve"> </w:t>
      </w:r>
      <w:r w:rsidRPr="000A2458">
        <w:t>11 C.F.R. § 109.21(c</w:t>
      </w:r>
      <w:proofErr w:type="gramStart"/>
      <w:r w:rsidRPr="000A2458">
        <w:t>)(</w:t>
      </w:r>
      <w:proofErr w:type="gramEnd"/>
      <w:r w:rsidRPr="000A2458">
        <w:t>2); see also 11 C.F.R. § 109.23.</w:t>
      </w:r>
    </w:p>
  </w:footnote>
  <w:footnote w:id="31">
    <w:p w:rsidR="006A5DE9" w:rsidRDefault="006A5DE9">
      <w:pPr>
        <w:pStyle w:val="FootnoteText"/>
      </w:pPr>
      <w:r>
        <w:rPr>
          <w:rStyle w:val="FootnoteReference"/>
        </w:rPr>
        <w:footnoteRef/>
      </w:r>
      <w:r>
        <w:t xml:space="preserve"> </w:t>
      </w:r>
      <w:r w:rsidRPr="000A7128">
        <w:t>W. Va. Code § 3-8-</w:t>
      </w:r>
      <w:proofErr w:type="gramStart"/>
      <w:r w:rsidRPr="000A7128">
        <w:t>9a(</w:t>
      </w:r>
      <w:proofErr w:type="gramEnd"/>
      <w:r w:rsidRPr="000A7128">
        <w:t>d).</w:t>
      </w:r>
    </w:p>
  </w:footnote>
  <w:footnote w:id="32">
    <w:p w:rsidR="006A5DE9" w:rsidRDefault="006A5DE9">
      <w:pPr>
        <w:pStyle w:val="FootnoteText"/>
      </w:pPr>
      <w:r>
        <w:rPr>
          <w:rStyle w:val="FootnoteReference"/>
        </w:rPr>
        <w:footnoteRef/>
      </w:r>
      <w:r>
        <w:t xml:space="preserve"> </w:t>
      </w:r>
      <w:r w:rsidRPr="000A7128">
        <w:t>Id.</w:t>
      </w:r>
    </w:p>
  </w:footnote>
  <w:footnote w:id="33">
    <w:p w:rsidR="006A5DE9" w:rsidRDefault="006A5DE9">
      <w:pPr>
        <w:pStyle w:val="FootnoteText"/>
      </w:pPr>
      <w:r>
        <w:rPr>
          <w:rStyle w:val="FootnoteReference"/>
        </w:rPr>
        <w:footnoteRef/>
      </w:r>
      <w:r>
        <w:t xml:space="preserve"> See W. Va. Code § 3-8-9(a</w:t>
      </w:r>
      <w:proofErr w:type="gramStart"/>
      <w:r>
        <w:t>)(</w:t>
      </w:r>
      <w:proofErr w:type="gramEnd"/>
      <w:r>
        <w:t>16).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DE9" w:rsidRPr="00E35431" w:rsidRDefault="006A5DE9" w:rsidP="00E35431">
    <w:pPr>
      <w:pStyle w:val="Header"/>
      <w:jc w:val="right"/>
      <w:rPr>
        <w:b/>
        <w:sz w:val="20"/>
      </w:rPr>
    </w:pPr>
    <w:r w:rsidRPr="00E35431">
      <w:rPr>
        <w:b/>
        <w:sz w:val="20"/>
      </w:rPr>
      <w:t>WV State Election Commission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220747"/>
    <w:multiLevelType w:val="hybridMultilevel"/>
    <w:tmpl w:val="C714E1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DFF4228"/>
    <w:multiLevelType w:val="hybridMultilevel"/>
    <w:tmpl w:val="50289DAE"/>
    <w:lvl w:ilvl="0" w:tplc="61988424">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732CA9"/>
    <w:multiLevelType w:val="hybridMultilevel"/>
    <w:tmpl w:val="16484A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C36ED3"/>
    <w:multiLevelType w:val="hybridMultilevel"/>
    <w:tmpl w:val="9782BC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BB4D50"/>
    <w:multiLevelType w:val="hybridMultilevel"/>
    <w:tmpl w:val="98FCAB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EE25BB"/>
    <w:multiLevelType w:val="hybridMultilevel"/>
    <w:tmpl w:val="E66C3A10"/>
    <w:lvl w:ilvl="0" w:tplc="819EE8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3A0FBF"/>
    <w:multiLevelType w:val="hybridMultilevel"/>
    <w:tmpl w:val="8CEA5B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E22DF5"/>
    <w:multiLevelType w:val="hybridMultilevel"/>
    <w:tmpl w:val="63682496"/>
    <w:lvl w:ilvl="0" w:tplc="C2188C86">
      <w:start w:val="1"/>
      <w:numFmt w:val="decimal"/>
      <w:lvlText w:val="%1."/>
      <w:lvlJc w:val="left"/>
      <w:pPr>
        <w:ind w:left="720" w:hanging="360"/>
      </w:pPr>
      <w:rPr>
        <w:b/>
      </w:rPr>
    </w:lvl>
    <w:lvl w:ilvl="1" w:tplc="0338BD74">
      <w:start w:val="1"/>
      <w:numFmt w:val="lowerLetter"/>
      <w:lvlText w:val="%2."/>
      <w:lvlJc w:val="left"/>
      <w:pPr>
        <w:ind w:left="1440" w:hanging="360"/>
      </w:pPr>
      <w:rPr>
        <w:b/>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F17FEB"/>
    <w:multiLevelType w:val="hybridMultilevel"/>
    <w:tmpl w:val="CC36B6B6"/>
    <w:lvl w:ilvl="0" w:tplc="0409000F">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2"/>
  </w:num>
  <w:num w:numId="3">
    <w:abstractNumId w:val="7"/>
  </w:num>
  <w:num w:numId="4">
    <w:abstractNumId w:val="5"/>
  </w:num>
  <w:num w:numId="5">
    <w:abstractNumId w:val="8"/>
  </w:num>
  <w:num w:numId="6">
    <w:abstractNumId w:val="0"/>
  </w:num>
  <w:num w:numId="7">
    <w:abstractNumId w:val="1"/>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BFC"/>
    <w:rsid w:val="000A2458"/>
    <w:rsid w:val="000A7128"/>
    <w:rsid w:val="000D2469"/>
    <w:rsid w:val="00137DB0"/>
    <w:rsid w:val="00141292"/>
    <w:rsid w:val="00226735"/>
    <w:rsid w:val="00265186"/>
    <w:rsid w:val="0028713E"/>
    <w:rsid w:val="0028716E"/>
    <w:rsid w:val="003B3FF0"/>
    <w:rsid w:val="003E50B1"/>
    <w:rsid w:val="0041213D"/>
    <w:rsid w:val="004908CF"/>
    <w:rsid w:val="00520C2D"/>
    <w:rsid w:val="005C723B"/>
    <w:rsid w:val="006A5DE9"/>
    <w:rsid w:val="006C13A9"/>
    <w:rsid w:val="006E337C"/>
    <w:rsid w:val="007F6B07"/>
    <w:rsid w:val="008416C2"/>
    <w:rsid w:val="00896CC3"/>
    <w:rsid w:val="008D6841"/>
    <w:rsid w:val="008F63FF"/>
    <w:rsid w:val="009D3E1A"/>
    <w:rsid w:val="00A81762"/>
    <w:rsid w:val="00A87738"/>
    <w:rsid w:val="00AB04A9"/>
    <w:rsid w:val="00AB2CD3"/>
    <w:rsid w:val="00AB6C4E"/>
    <w:rsid w:val="00B14404"/>
    <w:rsid w:val="00BD5205"/>
    <w:rsid w:val="00BE0A98"/>
    <w:rsid w:val="00BE0DD1"/>
    <w:rsid w:val="00C209FB"/>
    <w:rsid w:val="00C96DC8"/>
    <w:rsid w:val="00CF3C71"/>
    <w:rsid w:val="00D64E12"/>
    <w:rsid w:val="00DB7349"/>
    <w:rsid w:val="00DF6C88"/>
    <w:rsid w:val="00E35431"/>
    <w:rsid w:val="00E44877"/>
    <w:rsid w:val="00E476F9"/>
    <w:rsid w:val="00E736A2"/>
    <w:rsid w:val="00EA44EA"/>
    <w:rsid w:val="00F377F7"/>
    <w:rsid w:val="00F75BFC"/>
    <w:rsid w:val="00F824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D5222CF1-AA88-4C02-91F1-81FDD943A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5431"/>
    <w:pPr>
      <w:tabs>
        <w:tab w:val="center" w:pos="4680"/>
        <w:tab w:val="right" w:pos="9360"/>
      </w:tabs>
    </w:pPr>
  </w:style>
  <w:style w:type="character" w:customStyle="1" w:styleId="HeaderChar">
    <w:name w:val="Header Char"/>
    <w:basedOn w:val="DefaultParagraphFont"/>
    <w:link w:val="Header"/>
    <w:uiPriority w:val="99"/>
    <w:rsid w:val="00E35431"/>
  </w:style>
  <w:style w:type="paragraph" w:styleId="Footer">
    <w:name w:val="footer"/>
    <w:basedOn w:val="Normal"/>
    <w:link w:val="FooterChar"/>
    <w:uiPriority w:val="99"/>
    <w:unhideWhenUsed/>
    <w:rsid w:val="00E35431"/>
    <w:pPr>
      <w:tabs>
        <w:tab w:val="center" w:pos="4680"/>
        <w:tab w:val="right" w:pos="9360"/>
      </w:tabs>
    </w:pPr>
  </w:style>
  <w:style w:type="character" w:customStyle="1" w:styleId="FooterChar">
    <w:name w:val="Footer Char"/>
    <w:basedOn w:val="DefaultParagraphFont"/>
    <w:link w:val="Footer"/>
    <w:uiPriority w:val="99"/>
    <w:rsid w:val="00E35431"/>
  </w:style>
  <w:style w:type="paragraph" w:styleId="ListParagraph">
    <w:name w:val="List Paragraph"/>
    <w:basedOn w:val="Normal"/>
    <w:uiPriority w:val="34"/>
    <w:qFormat/>
    <w:rsid w:val="00265186"/>
    <w:pPr>
      <w:ind w:left="720"/>
      <w:contextualSpacing/>
    </w:pPr>
  </w:style>
  <w:style w:type="paragraph" w:styleId="FootnoteText">
    <w:name w:val="footnote text"/>
    <w:basedOn w:val="Normal"/>
    <w:link w:val="FootnoteTextChar"/>
    <w:uiPriority w:val="99"/>
    <w:semiHidden/>
    <w:unhideWhenUsed/>
    <w:rsid w:val="00C209FB"/>
    <w:rPr>
      <w:sz w:val="20"/>
      <w:szCs w:val="20"/>
    </w:rPr>
  </w:style>
  <w:style w:type="character" w:customStyle="1" w:styleId="FootnoteTextChar">
    <w:name w:val="Footnote Text Char"/>
    <w:basedOn w:val="DefaultParagraphFont"/>
    <w:link w:val="FootnoteText"/>
    <w:uiPriority w:val="99"/>
    <w:semiHidden/>
    <w:rsid w:val="00C209FB"/>
    <w:rPr>
      <w:sz w:val="20"/>
      <w:szCs w:val="20"/>
    </w:rPr>
  </w:style>
  <w:style w:type="character" w:styleId="FootnoteReference">
    <w:name w:val="footnote reference"/>
    <w:basedOn w:val="DefaultParagraphFont"/>
    <w:uiPriority w:val="99"/>
    <w:semiHidden/>
    <w:unhideWhenUsed/>
    <w:rsid w:val="00C209F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177717">
      <w:bodyDiv w:val="1"/>
      <w:marLeft w:val="0"/>
      <w:marRight w:val="0"/>
      <w:marTop w:val="0"/>
      <w:marBottom w:val="0"/>
      <w:divBdr>
        <w:top w:val="none" w:sz="0" w:space="0" w:color="auto"/>
        <w:left w:val="none" w:sz="0" w:space="0" w:color="auto"/>
        <w:bottom w:val="none" w:sz="0" w:space="0" w:color="auto"/>
        <w:right w:val="none" w:sz="0" w:space="0" w:color="auto"/>
      </w:divBdr>
    </w:div>
    <w:div w:id="1791166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2023EA-61AA-4120-9676-9CEF3C743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C95EA362</Template>
  <TotalTime>25</TotalTime>
  <Pages>14</Pages>
  <Words>5414</Words>
  <Characters>30866</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Kersey</dc:creator>
  <cp:keywords/>
  <dc:description/>
  <cp:lastModifiedBy>Donald Kersey</cp:lastModifiedBy>
  <cp:revision>5</cp:revision>
  <dcterms:created xsi:type="dcterms:W3CDTF">2019-07-26T17:29:00Z</dcterms:created>
  <dcterms:modified xsi:type="dcterms:W3CDTF">2019-07-26T18:12:00Z</dcterms:modified>
</cp:coreProperties>
</file>