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bookmarkStart w:id="0" w:name="_GoBack"/>
      <w:bookmarkEnd w:id="0"/>
      <w:r w:rsidRPr="007F4CBD">
        <w:rPr>
          <w:rFonts w:eastAsia="PMingLiU"/>
          <w:b/>
          <w:bCs/>
        </w:rPr>
        <w:t>TITLE 87</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LEGISLATIVE RULE</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STATE FIRE COMMISSION</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SERIES 4</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rPr>
      </w:pPr>
      <w:r w:rsidRPr="007F4CBD">
        <w:rPr>
          <w:rFonts w:eastAsia="PMingLiU"/>
          <w:b/>
          <w:bCs/>
        </w:rPr>
        <w:t>STATE BUILDING CODE</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§87-4-1.  General.</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1.1.  Scope.  --  This rule establishes the standards considered necessary by the State Fire Commission for the safeguarding of life and property and to ensure compliance with the minimum standards of safe construction of all structures erected or renovated throughout this state.</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1.2.  Authority.  --  W. Va. Code §29-3-5b.</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F96F54">
        <w:rPr>
          <w:rFonts w:eastAsia="PMingLiU"/>
        </w:rPr>
        <w:t xml:space="preserve">1.3.  Filing Date.  --  </w:t>
      </w:r>
      <w:r w:rsidR="00F96F54" w:rsidRPr="00F96F54">
        <w:rPr>
          <w:rFonts w:eastAsia="PMingLiU"/>
        </w:rPr>
        <w:t>May 3, 2016</w:t>
      </w:r>
      <w:r w:rsidRPr="007F4CBD">
        <w:rPr>
          <w:rFonts w:eastAsia="PMingLiU"/>
        </w:rPr>
        <w:t>.</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F96F54">
        <w:rPr>
          <w:rFonts w:eastAsia="PMingLiU"/>
        </w:rPr>
        <w:t xml:space="preserve">1.4.  Effective Date.  --  </w:t>
      </w:r>
      <w:r w:rsidR="00F96F54" w:rsidRPr="00F96F54">
        <w:rPr>
          <w:rFonts w:eastAsia="PMingLiU"/>
        </w:rPr>
        <w:t>August 1, 2016</w:t>
      </w:r>
      <w:r w:rsidR="00F96F54">
        <w:rPr>
          <w:rFonts w:eastAsia="PMingLiU"/>
        </w:rPr>
        <w:t>.</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1.5.  Incorporation of Other Documents.  --  This rule does not include a reprinting of all the requirements imposed by statute or by the incorporation of various nationally recognized standards and codes cited in Subsection 4.1 of this rule.  For ascertaining these additional standards and requirements, it is necessary to make reference to the other documents.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§87-4-2.  Definitions.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2.1.  “ANSI” means American National Standards Institute, 25 West 43</w:t>
      </w:r>
      <w:r w:rsidRPr="007F4CBD">
        <w:rPr>
          <w:rFonts w:eastAsia="PMingLiU"/>
          <w:vertAlign w:val="superscript"/>
        </w:rPr>
        <w:t>rd</w:t>
      </w:r>
      <w:r w:rsidRPr="007F4CBD">
        <w:rPr>
          <w:rFonts w:eastAsia="PMingLiU"/>
        </w:rPr>
        <w:t xml:space="preserve"> St., Fourth Floor, New York, NY 10036.</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2.2.  “ASTM” means American Society of Testing and Materials.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2.3.  “Fire Commission” means the thirteen (13) appointed members of the West Virginia State Fire Commission.</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2.4.  “Fire Marshal” means the West Virginia State Fire Marshal and/or his or her designated representatives.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2.5.  </w:t>
      </w:r>
      <w:r w:rsidR="009F0246" w:rsidRPr="007F4CBD">
        <w:rPr>
          <w:rFonts w:eastAsia="PMingLiU"/>
        </w:rPr>
        <w:t xml:space="preserve">“ICC” or “International” means International Code Council. </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2.6.  </w:t>
      </w:r>
      <w:r w:rsidR="009F0246" w:rsidRPr="007F4CBD">
        <w:rPr>
          <w:rFonts w:eastAsia="PMingLiU"/>
        </w:rPr>
        <w:t xml:space="preserve">“Local jurisdiction” means </w:t>
      </w:r>
      <w:r w:rsidR="009F0246" w:rsidRPr="00F96F54">
        <w:rPr>
          <w:rFonts w:eastAsia="PMingLiU"/>
        </w:rPr>
        <w:t>municipal, county, or other local</w:t>
      </w:r>
      <w:r w:rsidR="009F0246" w:rsidRPr="007F4CBD">
        <w:rPr>
          <w:rFonts w:eastAsia="PMingLiU"/>
        </w:rPr>
        <w:t xml:space="preserve"> government.</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2.7.  “NFPA” means National Fire Protection Association</w:t>
      </w:r>
      <w:r w:rsidR="00F96F54" w:rsidRPr="00F96F54">
        <w:rPr>
          <w:rFonts w:eastAsia="PMingLiU"/>
        </w:rPr>
        <w:t>.</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2.8.  “State Building Code” means the entire contents of this rule and the referenced </w:t>
      </w:r>
      <w:r w:rsidRPr="007F4CBD">
        <w:rPr>
          <w:rFonts w:eastAsia="PMingLiU"/>
        </w:rPr>
        <w:lastRenderedPageBreak/>
        <w:t>national standards and codes.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2.9.  “State Fire Code” means the entire contents of </w:t>
      </w:r>
      <w:r w:rsidR="009F0246" w:rsidRPr="00F96F54">
        <w:rPr>
          <w:rFonts w:eastAsia="PMingLiU"/>
        </w:rPr>
        <w:t>the</w:t>
      </w:r>
      <w:r w:rsidR="00F96F54">
        <w:rPr>
          <w:rFonts w:eastAsia="PMingLiU"/>
        </w:rPr>
        <w:t xml:space="preserve"> </w:t>
      </w:r>
      <w:r w:rsidR="009F0246">
        <w:rPr>
          <w:rFonts w:eastAsia="PMingLiU"/>
        </w:rPr>
        <w:t xml:space="preserve">State Fire Code, </w:t>
      </w:r>
      <w:r w:rsidRPr="007F4CBD">
        <w:rPr>
          <w:rFonts w:eastAsia="PMingLiU"/>
        </w:rPr>
        <w:t>87CSR1, and the referenced standards and codes.</w:t>
      </w:r>
    </w:p>
    <w:p w:rsidR="00511F20"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§87-4-3.  Conflicts.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3.1.  Whenever there is a conflict between the State Fire Code and the State Building Code, the State Fire Code takes precedence.</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3.2.  Whenever there is a conflict between the International Plumbing Code requirements of the State Building Code and the rules of the West Virginia State Department of Health and Human Resources, the rules of the Department of Health and Human Resources take precedence.</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3.3.  Whenever there is a conflict between the State Building Code and statutory laws of the State of West Virginia, the laws of the State of West Virginia take precedence.</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§87-4-4.  National Standards and Codes.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4.1.  The standards and requirements as set out and as published by the International Code Council, and American National Standards Institute, and the National Fire Protection Association as listed in this subsection, have the same force and effect as if set out verbatim in this rule.</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4.1.a.  The </w:t>
      </w:r>
      <w:r w:rsidR="007F4CBD" w:rsidRPr="00F96F54">
        <w:rPr>
          <w:rFonts w:eastAsia="PMingLiU"/>
        </w:rPr>
        <w:t>2015</w:t>
      </w:r>
      <w:r w:rsidR="007F4CBD">
        <w:rPr>
          <w:rFonts w:eastAsia="PMingLiU"/>
        </w:rPr>
        <w:t xml:space="preserve"> </w:t>
      </w:r>
      <w:r w:rsidRPr="007F4CBD">
        <w:rPr>
          <w:rFonts w:eastAsia="PMingLiU"/>
        </w:rPr>
        <w:t>edition, International Building Code, with the following exceptions: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ab/>
      </w:r>
      <w:r w:rsidR="00511F20" w:rsidRPr="007F4CBD">
        <w:rPr>
          <w:rFonts w:eastAsia="PMingLiU"/>
        </w:rPr>
        <w:t xml:space="preserve">4.1.a.1.  Provided; that the section entitled “Fire Prevention” and identified as Section </w:t>
      </w:r>
      <w:r w:rsidR="00511F20" w:rsidRPr="00C30171">
        <w:rPr>
          <w:rFonts w:eastAsia="PMingLiU"/>
          <w:iCs/>
        </w:rPr>
        <w:t>101.4.5</w:t>
      </w:r>
      <w:r w:rsidR="00511F20" w:rsidRPr="007F4CBD">
        <w:rPr>
          <w:rFonts w:eastAsia="PMingLiU"/>
          <w:i/>
          <w:iCs/>
        </w:rPr>
        <w:t xml:space="preserve"> </w:t>
      </w:r>
      <w:r w:rsidR="00511F20" w:rsidRPr="007F4CBD">
        <w:rPr>
          <w:rFonts w:eastAsia="PMingLiU"/>
        </w:rPr>
        <w:t>is deleted and not considered to be a part of this rule.</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7F4CBD">
        <w:rPr>
          <w:rFonts w:eastAsia="PMingLiU"/>
        </w:rPr>
        <w:t>4.1.a.2.  Further provided that the entire subsection entitled</w:t>
      </w:r>
      <w:r w:rsidR="007F4CBD">
        <w:rPr>
          <w:rFonts w:eastAsia="PMingLiU"/>
        </w:rPr>
        <w:t xml:space="preserve"> </w:t>
      </w:r>
      <w:r w:rsidRPr="007F4CBD">
        <w:rPr>
          <w:rFonts w:eastAsia="PMingLiU"/>
        </w:rPr>
        <w:t>“Qualifications” and identified as Section 113.3 is deleted and replaced with the following:</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F96F54">
        <w:rPr>
          <w:rFonts w:eastAsia="PMingLiU"/>
        </w:rPr>
        <w:t>“</w:t>
      </w:r>
      <w:r w:rsidR="00511F20" w:rsidRPr="007F4CBD">
        <w:rPr>
          <w:rFonts w:eastAsia="PMingLiU"/>
        </w:rPr>
        <w:t>Section 113.3.  Board of Appeals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7F4CBD">
        <w:rPr>
          <w:rFonts w:eastAsia="PMingLiU"/>
        </w:rPr>
        <w:t>113.3 Qualifications.  The board of appeals shall consist of five members, with up to three alternates, who are qualified by experience and training to pass on matters pertaining to building construction and are not employees of the jurisdiction.  They may include, but are not limited to, a WV Registered Professional Architect or Engineer, or a WV Licensed General Building, Residential, Electrical, Piping, Plumbing, Mechanical or Fire Protection Contractor, with at least 10 years experience, five of which shall be in responsible charge of work.</w:t>
      </w:r>
      <w:r w:rsidR="009F0246">
        <w:rPr>
          <w:rFonts w:eastAsia="PMingLiU"/>
        </w:rPr>
        <w:t xml:space="preserve">  </w:t>
      </w:r>
      <w:r w:rsidR="009F0246" w:rsidRPr="00F96F54">
        <w:rPr>
          <w:rFonts w:eastAsia="PMingLiU"/>
        </w:rPr>
        <w:t>No less than one of the members of such Board of Appeals shall be a WV Registered Professional Architect or Engineer, or a WV Licensed General Building, Residential, Electrical, Piping, Plumbing, Mechanical or Fire Protection Contractor.</w:t>
      </w:r>
      <w:r w:rsidR="00092E4B" w:rsidRPr="00F96F54">
        <w:rPr>
          <w:rFonts w:eastAsia="PMingLiU"/>
        </w:rPr>
        <w:t>”</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4.1.b.  The </w:t>
      </w:r>
      <w:r w:rsidR="007F4CBD" w:rsidRPr="00F96F54">
        <w:rPr>
          <w:rFonts w:eastAsia="PMingLiU"/>
        </w:rPr>
        <w:t>2015</w:t>
      </w:r>
      <w:r w:rsidR="007F4CBD">
        <w:rPr>
          <w:rFonts w:eastAsia="PMingLiU"/>
        </w:rPr>
        <w:t xml:space="preserve"> </w:t>
      </w:r>
      <w:r w:rsidRPr="007F4CBD">
        <w:rPr>
          <w:rFonts w:eastAsia="PMingLiU"/>
        </w:rPr>
        <w:t>edition of the International Plumbing Code.</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4.1.c.  The </w:t>
      </w:r>
      <w:r w:rsidR="007F4CBD" w:rsidRPr="00F96F54">
        <w:rPr>
          <w:rFonts w:eastAsia="PMingLiU"/>
        </w:rPr>
        <w:t>2015</w:t>
      </w:r>
      <w:r w:rsidRPr="007F4CBD">
        <w:rPr>
          <w:rFonts w:eastAsia="PMingLiU"/>
        </w:rPr>
        <w:t xml:space="preserve"> edition of the International Mechanical Code.</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4.1.d.  The </w:t>
      </w:r>
      <w:r w:rsidR="007F4CBD" w:rsidRPr="00F96F54">
        <w:rPr>
          <w:rFonts w:eastAsia="PMingLiU"/>
        </w:rPr>
        <w:t>2015</w:t>
      </w:r>
      <w:r w:rsidRPr="007F4CBD">
        <w:rPr>
          <w:rFonts w:eastAsia="PMingLiU"/>
        </w:rPr>
        <w:t xml:space="preserve"> edition of the International Fuel Gas Code, with the following exception:</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004F37">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ab/>
      </w:r>
      <w:r w:rsidRPr="00F96F54">
        <w:rPr>
          <w:rFonts w:eastAsia="PMingLiU"/>
        </w:rPr>
        <w:t xml:space="preserve">4.1.d.1. </w:t>
      </w:r>
      <w:r w:rsidR="00511F20" w:rsidRPr="00F96F54">
        <w:rPr>
          <w:rFonts w:eastAsia="PMingLiU"/>
        </w:rPr>
        <w:t>Section</w:t>
      </w:r>
      <w:r w:rsidR="00511F20" w:rsidRPr="007F4CBD">
        <w:rPr>
          <w:rFonts w:eastAsia="PMingLiU"/>
        </w:rPr>
        <w:t xml:space="preserve"> 404.10 Underground piping systems shall be installed a minimum depth of 12 inches (305 mm) below grade.  If the minimum depth cannot be maintained, the piping system shall be installed in conduit or shielded in an approved manner.</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4.1.e.  The </w:t>
      </w:r>
      <w:r w:rsidR="007F4CBD" w:rsidRPr="00F96F54">
        <w:rPr>
          <w:rFonts w:eastAsia="PMingLiU"/>
        </w:rPr>
        <w:t>2015</w:t>
      </w:r>
      <w:r w:rsidRPr="007F4CBD">
        <w:rPr>
          <w:rFonts w:eastAsia="PMingLiU"/>
        </w:rPr>
        <w:t xml:space="preserve"> edition of the International Property Mainten</w:t>
      </w:r>
      <w:r w:rsidR="00F77A13">
        <w:rPr>
          <w:rFonts w:eastAsia="PMingLiU"/>
        </w:rPr>
        <w:t>ance Code. This</w:t>
      </w:r>
      <w:r w:rsidR="00F77A13" w:rsidRPr="00F96F54">
        <w:rPr>
          <w:rFonts w:eastAsia="PMingLiU"/>
        </w:rPr>
        <w:t xml:space="preserve"> c</w:t>
      </w:r>
      <w:r w:rsidRPr="00F96F54">
        <w:rPr>
          <w:rFonts w:eastAsia="PMingLiU"/>
        </w:rPr>
        <w:t>ode</w:t>
      </w:r>
      <w:r w:rsidRPr="007F4CBD">
        <w:rPr>
          <w:rFonts w:eastAsia="PMingLiU"/>
        </w:rPr>
        <w:t xml:space="preserve"> may be rejected at the option of the local jurisdiction.</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155A5C"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7F4CBD">
        <w:rPr>
          <w:rFonts w:eastAsia="PMingLiU"/>
        </w:rPr>
        <w:t xml:space="preserve">4.1.e.1.  </w:t>
      </w:r>
      <w:r w:rsidR="00155A5C" w:rsidRPr="00F96F54">
        <w:rPr>
          <w:rFonts w:eastAsia="PMingLiU"/>
          <w:i/>
        </w:rPr>
        <w:t xml:space="preserve">Provided, </w:t>
      </w:r>
      <w:r w:rsidR="00155A5C" w:rsidRPr="00F96F54">
        <w:rPr>
          <w:rFonts w:eastAsia="PMingLiU"/>
        </w:rPr>
        <w:t>that Section 110.3 Failure to Comply</w:t>
      </w:r>
      <w:r w:rsidR="00680796" w:rsidRPr="00F96F54">
        <w:rPr>
          <w:rFonts w:eastAsia="PMingLiU"/>
        </w:rPr>
        <w:t>,</w:t>
      </w:r>
      <w:r w:rsidR="00155A5C" w:rsidRPr="00F96F54">
        <w:rPr>
          <w:rFonts w:eastAsia="PMingLiU"/>
        </w:rPr>
        <w:t xml:space="preserve"> shall be modified as follows:</w:t>
      </w:r>
    </w:p>
    <w:p w:rsidR="00155A5C" w:rsidRPr="00F96F54" w:rsidRDefault="00155A5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F96F54">
        <w:rPr>
          <w:rFonts w:eastAsia="PMingLiU"/>
        </w:rPr>
        <w:t>“</w:t>
      </w:r>
      <w:r w:rsidR="00F96F54" w:rsidRPr="00F96F54">
        <w:rPr>
          <w:rFonts w:eastAsia="PMingLiU"/>
        </w:rPr>
        <w:t>Unless authorized by W.Va. Code §8-12-16, or absent the express consent of the owner, i</w:t>
      </w:r>
      <w:r w:rsidRPr="00F96F54">
        <w:rPr>
          <w:rFonts w:eastAsia="PMingLiU"/>
        </w:rPr>
        <w:t xml:space="preserve">f the owner of a premises fails to comply with a demolition order within the time prescribed, the legal counsel of the jurisdiction shall institute </w:t>
      </w:r>
      <w:r w:rsidR="00C810AA" w:rsidRPr="00F96F54">
        <w:rPr>
          <w:rFonts w:eastAsia="PMingLiU"/>
        </w:rPr>
        <w:t xml:space="preserve">appropriate action in the Circuit Court of the County in which the property is located against the owner of the premises where the structure is or was located seeking an Order causing the structure to be demolished and removed.  Thereafter, the local jurisdiction, through an available public agency or by contract or arrangement with private persons, </w:t>
      </w:r>
      <w:r w:rsidR="00680796" w:rsidRPr="00F96F54">
        <w:rPr>
          <w:rFonts w:eastAsia="PMingLiU"/>
        </w:rPr>
        <w:t xml:space="preserve">shall </w:t>
      </w:r>
      <w:r w:rsidR="00C810AA" w:rsidRPr="00F96F54">
        <w:rPr>
          <w:rFonts w:eastAsia="PMingLiU"/>
        </w:rPr>
        <w:t>demolish and remove the structure and the costs thereof, as well as all fees and costs incurred in the legal action, shall be a lien upon such real estate.”</w:t>
      </w:r>
    </w:p>
    <w:p w:rsidR="00155A5C" w:rsidRDefault="00155A5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p>
    <w:p w:rsidR="00511F20" w:rsidRPr="007F4CBD" w:rsidRDefault="00155A5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F96F54">
        <w:rPr>
          <w:rFonts w:eastAsia="PMingLiU"/>
        </w:rPr>
        <w:t>4.1.e.2.</w:t>
      </w:r>
      <w:r>
        <w:rPr>
          <w:rFonts w:eastAsia="PMingLiU"/>
        </w:rPr>
        <w:t xml:space="preserve">  </w:t>
      </w:r>
      <w:r w:rsidR="00511F20" w:rsidRPr="007F4CBD">
        <w:rPr>
          <w:rFonts w:eastAsia="PMingLiU"/>
        </w:rPr>
        <w:t xml:space="preserve">This code may be adopted by the local jurisdiction without requiring adoption of the other national codes and standards listed in this </w:t>
      </w:r>
      <w:r w:rsidR="00C810AA" w:rsidRPr="00F96F54">
        <w:rPr>
          <w:rFonts w:eastAsia="PMingLiU"/>
        </w:rPr>
        <w:t>rule</w:t>
      </w:r>
      <w:r w:rsidR="00511F20" w:rsidRPr="007F4CBD">
        <w:rPr>
          <w:rFonts w:eastAsia="PMingLiU"/>
        </w:rPr>
        <w:t>.</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rsidP="009F163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 xml:space="preserve">4.1.f.  The </w:t>
      </w:r>
      <w:r w:rsidRPr="009F1630">
        <w:rPr>
          <w:rFonts w:eastAsia="PMingLiU"/>
        </w:rPr>
        <w:t>2009</w:t>
      </w:r>
      <w:r w:rsidR="007F4CBD">
        <w:rPr>
          <w:rFonts w:eastAsia="PMingLiU"/>
        </w:rPr>
        <w:t xml:space="preserve"> </w:t>
      </w:r>
      <w:r w:rsidRPr="007F4CBD">
        <w:rPr>
          <w:rFonts w:eastAsia="PMingLiU"/>
        </w:rPr>
        <w:t>edition of the International Energy Conservation Code for residential buildings</w:t>
      </w:r>
      <w:r w:rsidR="00F96F54">
        <w:rPr>
          <w:rFonts w:eastAsia="PMingLiU"/>
        </w:rPr>
        <w:t>.</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4.1.g</w:t>
      </w:r>
      <w:r w:rsidR="00092E4B">
        <w:rPr>
          <w:rFonts w:eastAsia="PMingLiU"/>
        </w:rPr>
        <w:t>.</w:t>
      </w:r>
      <w:r w:rsidRPr="007F4CBD">
        <w:rPr>
          <w:rFonts w:eastAsia="PMingLiU"/>
        </w:rPr>
        <w:t xml:space="preserve">  The ANSI/ASHRAE/IESNA Standard 90.1-</w:t>
      </w:r>
      <w:r w:rsidRPr="009F1630">
        <w:rPr>
          <w:rFonts w:eastAsia="PMingLiU"/>
        </w:rPr>
        <w:t>2007</w:t>
      </w:r>
      <w:r w:rsidR="007F4CBD">
        <w:rPr>
          <w:rFonts w:eastAsia="PMingLiU"/>
        </w:rPr>
        <w:t xml:space="preserve"> </w:t>
      </w:r>
      <w:r w:rsidR="0097556B" w:rsidRPr="00F96F54">
        <w:rPr>
          <w:rFonts w:eastAsia="PMingLiU"/>
        </w:rPr>
        <w:t>e</w:t>
      </w:r>
      <w:r w:rsidRPr="00F96F54">
        <w:rPr>
          <w:rFonts w:eastAsia="PMingLiU"/>
        </w:rPr>
        <w:t>dition</w:t>
      </w:r>
      <w:r w:rsidRPr="007F4CBD">
        <w:rPr>
          <w:rFonts w:eastAsia="PMingLiU"/>
        </w:rPr>
        <w:t xml:space="preserve"> for commercial buildings.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4.1.h</w:t>
      </w:r>
      <w:r w:rsidR="00092E4B">
        <w:rPr>
          <w:rFonts w:eastAsia="PMingLiU"/>
        </w:rPr>
        <w:t>.</w:t>
      </w:r>
      <w:r w:rsidRPr="007F4CBD">
        <w:rPr>
          <w:rFonts w:eastAsia="PMingLiU"/>
        </w:rPr>
        <w:t xml:space="preserve">  The </w:t>
      </w:r>
      <w:r w:rsidR="007F4CBD" w:rsidRPr="00F96F54">
        <w:rPr>
          <w:rFonts w:eastAsia="PMingLiU"/>
        </w:rPr>
        <w:t>2015</w:t>
      </w:r>
      <w:r w:rsidR="007F4CBD">
        <w:rPr>
          <w:rFonts w:eastAsia="PMingLiU"/>
        </w:rPr>
        <w:t xml:space="preserve"> </w:t>
      </w:r>
      <w:r w:rsidRPr="007F4CBD">
        <w:rPr>
          <w:rFonts w:eastAsia="PMingLiU"/>
        </w:rPr>
        <w:t>edition of the International Residential Code for One and Two Family Dwellings, with the following exceptions: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004F37">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F96F54">
        <w:rPr>
          <w:rFonts w:eastAsia="PMingLiU"/>
        </w:rPr>
        <w:t>4.1.h.1.</w:t>
      </w:r>
      <w:r>
        <w:rPr>
          <w:rFonts w:eastAsia="PMingLiU"/>
        </w:rPr>
        <w:t xml:space="preserve">  </w:t>
      </w:r>
      <w:r w:rsidR="00511F20" w:rsidRPr="00004F37">
        <w:rPr>
          <w:rFonts w:eastAsia="PMingLiU"/>
        </w:rPr>
        <w:t>Chapter</w:t>
      </w:r>
      <w:r w:rsidR="00511F20" w:rsidRPr="007F4CBD">
        <w:rPr>
          <w:rFonts w:eastAsia="PMingLiU"/>
        </w:rPr>
        <w:t xml:space="preserve"> 11 of the </w:t>
      </w:r>
      <w:r w:rsidR="007F4CBD" w:rsidRPr="00F96F54">
        <w:rPr>
          <w:rFonts w:eastAsia="PMingLiU"/>
        </w:rPr>
        <w:t>2015</w:t>
      </w:r>
      <w:r w:rsidR="007F4CBD">
        <w:rPr>
          <w:rFonts w:eastAsia="PMingLiU"/>
        </w:rPr>
        <w:t xml:space="preserve"> </w:t>
      </w:r>
      <w:r w:rsidR="00511F20" w:rsidRPr="007F4CBD">
        <w:rPr>
          <w:rFonts w:eastAsia="PMingLiU"/>
        </w:rPr>
        <w:t>edition of the International Residential Code for One and Two Family Dwellings, Seventh Printing, entitled “Energy Efficiency”, is exempt from this rule.</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F96F54">
        <w:rPr>
          <w:rFonts w:eastAsia="PMingLiU"/>
        </w:rPr>
        <w:t>4.1.h.2.</w:t>
      </w:r>
      <w:r>
        <w:rPr>
          <w:rFonts w:eastAsia="PMingLiU"/>
        </w:rPr>
        <w:t xml:space="preserve">  </w:t>
      </w:r>
      <w:r w:rsidR="00511F20" w:rsidRPr="00092E4B">
        <w:rPr>
          <w:rFonts w:eastAsia="PMingLiU"/>
        </w:rPr>
        <w:t>Section</w:t>
      </w:r>
      <w:r w:rsidR="00511F20" w:rsidRPr="007F4CBD">
        <w:rPr>
          <w:rFonts w:eastAsia="PMingLiU"/>
        </w:rPr>
        <w:t xml:space="preserve"> </w:t>
      </w:r>
      <w:r w:rsidR="00DB2E5D" w:rsidRPr="00F96F54">
        <w:rPr>
          <w:rFonts w:eastAsia="PMingLiU"/>
        </w:rPr>
        <w:t>G2415.12</w:t>
      </w:r>
      <w:r w:rsidR="00511F20" w:rsidRPr="007F4CBD">
        <w:rPr>
          <w:rFonts w:eastAsia="PMingLiU"/>
        </w:rPr>
        <w:t xml:space="preserve"> </w:t>
      </w:r>
      <w:r w:rsidR="00511F20" w:rsidRPr="00F77A13">
        <w:rPr>
          <w:rFonts w:eastAsia="PMingLiU"/>
          <w:iCs/>
        </w:rPr>
        <w:t>(404.10</w:t>
      </w:r>
      <w:r w:rsidR="00F77A13" w:rsidRPr="00F77A13">
        <w:rPr>
          <w:rFonts w:eastAsia="PMingLiU"/>
        </w:rPr>
        <w:t>)</w:t>
      </w:r>
      <w:r w:rsidR="00F77A13">
        <w:rPr>
          <w:rFonts w:eastAsia="PMingLiU"/>
        </w:rPr>
        <w:t xml:space="preserve"> </w:t>
      </w:r>
      <w:r w:rsidR="00511F20" w:rsidRPr="007F4CBD">
        <w:rPr>
          <w:rFonts w:eastAsia="PMingLiU"/>
        </w:rPr>
        <w:t>Minimum Burial Depth. Underground piping systems shall be installed a minimum depth of 12 inches (305 mm) below grade.  If the minimum depth cannot be maintained, the piping system shall be installed in conduit or shielded in an approved manner.</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trike/>
        </w:rPr>
      </w:pPr>
    </w:p>
    <w:p w:rsidR="00511F20" w:rsidRPr="007F4CBD"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jc w:val="both"/>
        <w:rPr>
          <w:rFonts w:eastAsia="PMingLiU"/>
        </w:rPr>
      </w:pPr>
      <w:r>
        <w:rPr>
          <w:rFonts w:eastAsia="PMingLiU"/>
        </w:rPr>
        <w:t xml:space="preserve">4.1.h.2.  </w:t>
      </w:r>
      <w:r w:rsidR="00511F20" w:rsidRPr="00F96F54">
        <w:rPr>
          <w:rFonts w:eastAsia="PMingLiU"/>
        </w:rPr>
        <w:t xml:space="preserve">Section </w:t>
      </w:r>
      <w:r w:rsidR="00DB2E5D" w:rsidRPr="00F96F54">
        <w:rPr>
          <w:rFonts w:eastAsia="PMingLiU"/>
        </w:rPr>
        <w:t>R311.7.5</w:t>
      </w:r>
      <w:r w:rsidR="00DB2E5D">
        <w:rPr>
          <w:rFonts w:eastAsia="PMingLiU"/>
        </w:rPr>
        <w:t xml:space="preserve"> </w:t>
      </w:r>
      <w:r w:rsidR="00511F20" w:rsidRPr="007F4CBD">
        <w:rPr>
          <w:rFonts w:eastAsia="PMingLiU"/>
        </w:rPr>
        <w:t>Stair Treads and Risers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Pr>
          <w:rFonts w:eastAsia="PMingLiU"/>
        </w:rPr>
        <w:tab/>
      </w:r>
      <w:r w:rsidR="001C0AF9" w:rsidRPr="00F96F54">
        <w:rPr>
          <w:rFonts w:eastAsia="PMingLiU"/>
        </w:rPr>
        <w:t>4.1.h.2.A</w:t>
      </w:r>
      <w:r w:rsidR="00E523CE">
        <w:rPr>
          <w:rFonts w:eastAsia="PMingLiU"/>
        </w:rPr>
        <w:t xml:space="preserve">.  </w:t>
      </w:r>
      <w:r w:rsidR="00DB2E5D" w:rsidRPr="00F96F54">
        <w:rPr>
          <w:rFonts w:eastAsia="PMingLiU"/>
        </w:rPr>
        <w:t>311.7.5.1</w:t>
      </w:r>
      <w:r w:rsidR="00511F20" w:rsidRPr="007F4CBD">
        <w:rPr>
          <w:rFonts w:eastAsia="PMingLiU"/>
        </w:rPr>
        <w:t xml:space="preserve"> Riser Heights  --  The maximum riser height shall be eight and one-quarter (8 ¼) inches.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F96F54"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Pr>
          <w:rFonts w:eastAsia="PMingLiU"/>
        </w:rPr>
        <w:tab/>
      </w:r>
      <w:r w:rsidR="001C0AF9" w:rsidRPr="00F96F54">
        <w:rPr>
          <w:rFonts w:eastAsia="PMingLiU"/>
        </w:rPr>
        <w:t>4.1.h.2.B</w:t>
      </w:r>
      <w:r w:rsidR="00E523CE">
        <w:rPr>
          <w:rFonts w:eastAsia="PMingLiU"/>
        </w:rPr>
        <w:t xml:space="preserve">.  </w:t>
      </w:r>
      <w:r w:rsidR="00DB2E5D" w:rsidRPr="00F96F54">
        <w:rPr>
          <w:rFonts w:eastAsia="PMingLiU"/>
        </w:rPr>
        <w:t>311.7.5.2</w:t>
      </w:r>
      <w:r w:rsidR="00511F20" w:rsidRPr="007F4CBD">
        <w:rPr>
          <w:rFonts w:eastAsia="PMingLiU"/>
        </w:rPr>
        <w:t xml:space="preserve"> Tread Depth  --  The minimum tread depth shall be nine (9</w:t>
      </w:r>
      <w:r w:rsidR="00511F20" w:rsidRPr="00F96F54">
        <w:rPr>
          <w:rFonts w:eastAsia="PMingLiU"/>
        </w:rPr>
        <w:t>) inches.</w:t>
      </w:r>
    </w:p>
    <w:p w:rsidR="00511F20"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F96F54"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ab/>
        <w:t xml:space="preserve">4.1.h.3.  </w:t>
      </w:r>
      <w:r w:rsidR="00511F20" w:rsidRPr="00F96F54">
        <w:rPr>
          <w:rFonts w:eastAsia="PMingLiU"/>
        </w:rPr>
        <w:t xml:space="preserve">Section R403.1.7.1:  Building Clearances From Ascending Slopes is not applicable to this rule. </w:t>
      </w:r>
    </w:p>
    <w:p w:rsidR="00511F20"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092E4B">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F96F54">
        <w:rPr>
          <w:rFonts w:eastAsia="PMingLiU"/>
        </w:rPr>
        <w:tab/>
        <w:t>4.1.h.4.</w:t>
      </w:r>
      <w:r w:rsidR="00E523CE">
        <w:rPr>
          <w:rFonts w:eastAsia="PMingLiU"/>
        </w:rPr>
        <w:t xml:space="preserve">  </w:t>
      </w:r>
      <w:r w:rsidR="00511F20" w:rsidRPr="007F4CBD">
        <w:rPr>
          <w:rFonts w:eastAsia="PMingLiU"/>
        </w:rPr>
        <w:t xml:space="preserve">Section R403.1.7.2:  Footings Setbacks From Descending Slope Surfaces is not applicable to this rule. </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4.1.i.</w:t>
      </w:r>
      <w:r w:rsidR="00511F20" w:rsidRPr="007F4CBD">
        <w:rPr>
          <w:rFonts w:eastAsia="PMingLiU"/>
        </w:rPr>
        <w:t xml:space="preserve">  The </w:t>
      </w:r>
      <w:r w:rsidR="00511F20" w:rsidRPr="00092E4B">
        <w:rPr>
          <w:rFonts w:eastAsia="PMingLiU"/>
        </w:rPr>
        <w:t>2009</w:t>
      </w:r>
      <w:r w:rsidR="007F4CBD">
        <w:rPr>
          <w:rFonts w:eastAsia="PMingLiU"/>
        </w:rPr>
        <w:t xml:space="preserve"> </w:t>
      </w:r>
      <w:r w:rsidR="00511F20" w:rsidRPr="007F4CBD">
        <w:rPr>
          <w:rFonts w:eastAsia="PMingLiU"/>
        </w:rPr>
        <w:t>ICC/ANSI A117.1 American National Standards for Accessibility &amp; Usable Buildings &amp; Facilities.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Pr>
          <w:rFonts w:eastAsia="PMingLiU"/>
        </w:rPr>
        <w:t>4.1.j</w:t>
      </w:r>
      <w:r w:rsidR="00511F20" w:rsidRPr="007F4CBD">
        <w:rPr>
          <w:rFonts w:eastAsia="PMingLiU"/>
        </w:rPr>
        <w:t xml:space="preserve">. </w:t>
      </w:r>
      <w:r w:rsidR="00E523CE">
        <w:rPr>
          <w:rFonts w:eastAsia="PMingLiU"/>
        </w:rPr>
        <w:t xml:space="preserve"> </w:t>
      </w:r>
      <w:r w:rsidR="00511F20" w:rsidRPr="007F4CBD">
        <w:rPr>
          <w:rFonts w:eastAsia="PMingLiU"/>
        </w:rPr>
        <w:t xml:space="preserve">The </w:t>
      </w:r>
      <w:r w:rsidR="007F4CBD" w:rsidRPr="00F96F54">
        <w:rPr>
          <w:rFonts w:eastAsia="PMingLiU"/>
        </w:rPr>
        <w:t>2015</w:t>
      </w:r>
      <w:r w:rsidR="00511F20" w:rsidRPr="007F4CBD">
        <w:rPr>
          <w:rFonts w:eastAsia="PMingLiU"/>
        </w:rPr>
        <w:t xml:space="preserve"> International Existing Building Code, with the following exception:</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rPr>
      </w:pPr>
      <w:r w:rsidRPr="007F4CBD">
        <w:rPr>
          <w:rFonts w:eastAsia="PMingLiU"/>
        </w:rPr>
        <w:t>4.1.</w:t>
      </w:r>
      <w:r w:rsidR="009F0246">
        <w:rPr>
          <w:rFonts w:eastAsia="PMingLiU"/>
        </w:rPr>
        <w:t>j</w:t>
      </w:r>
      <w:r w:rsidRPr="007F4CBD">
        <w:rPr>
          <w:rFonts w:eastAsia="PMingLiU"/>
        </w:rPr>
        <w:t>.l.</w:t>
      </w:r>
      <w:r w:rsidR="00E523CE">
        <w:rPr>
          <w:rFonts w:eastAsia="PMingLiU"/>
        </w:rPr>
        <w:t xml:space="preserve"> </w:t>
      </w:r>
      <w:r w:rsidRPr="007F4CBD">
        <w:rPr>
          <w:rFonts w:eastAsia="PMingLiU"/>
        </w:rPr>
        <w:t xml:space="preserve"> Omit reference to International Fire Code and substitute NFPA Life Safety Code </w:t>
      </w:r>
      <w:r w:rsidR="007F4CBD" w:rsidRPr="00F96F54">
        <w:rPr>
          <w:rFonts w:eastAsia="PMingLiU"/>
        </w:rPr>
        <w:t>2015</w:t>
      </w:r>
      <w:r w:rsidRPr="00F96F54">
        <w:rPr>
          <w:rFonts w:eastAsia="PMingLiU"/>
        </w:rPr>
        <w:t xml:space="preserve"> </w:t>
      </w:r>
      <w:r w:rsidR="00DE064E" w:rsidRPr="00F96F54">
        <w:rPr>
          <w:rFonts w:eastAsia="PMingLiU"/>
        </w:rPr>
        <w:t>e</w:t>
      </w:r>
      <w:r w:rsidRPr="00F96F54">
        <w:rPr>
          <w:rFonts w:eastAsia="PMingLiU"/>
        </w:rPr>
        <w:t>dition</w:t>
      </w:r>
      <w:r w:rsidRPr="00DE064E">
        <w:rPr>
          <w:rFonts w:eastAsia="PMingLiU"/>
        </w:rPr>
        <w:t>.</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7F4CBD">
        <w:rPr>
          <w:rFonts w:eastAsia="PMingLiU"/>
        </w:rPr>
        <w:t>4.1.</w:t>
      </w:r>
      <w:r w:rsidR="009F0246">
        <w:rPr>
          <w:rFonts w:eastAsia="PMingLiU"/>
        </w:rPr>
        <w:t>k</w:t>
      </w:r>
      <w:r w:rsidRPr="007F4CBD">
        <w:rPr>
          <w:rFonts w:eastAsia="PMingLiU"/>
        </w:rPr>
        <w:t xml:space="preserve">. </w:t>
      </w:r>
      <w:r w:rsidR="00E523CE">
        <w:rPr>
          <w:rFonts w:eastAsia="PMingLiU"/>
        </w:rPr>
        <w:t xml:space="preserve"> </w:t>
      </w:r>
      <w:r w:rsidRPr="007F4CBD">
        <w:rPr>
          <w:rFonts w:eastAsia="PMingLiU"/>
        </w:rPr>
        <w:t xml:space="preserve">The </w:t>
      </w:r>
      <w:r w:rsidR="007F4CBD" w:rsidRPr="00F96F54">
        <w:rPr>
          <w:rFonts w:eastAsia="PMingLiU"/>
        </w:rPr>
        <w:t>201</w:t>
      </w:r>
      <w:r w:rsidR="00092E4B" w:rsidRPr="00F96F54">
        <w:rPr>
          <w:rFonts w:eastAsia="PMingLiU"/>
        </w:rPr>
        <w:t>4</w:t>
      </w:r>
      <w:r w:rsidR="007F4CBD">
        <w:rPr>
          <w:rFonts w:eastAsia="PMingLiU"/>
        </w:rPr>
        <w:t xml:space="preserve"> </w:t>
      </w:r>
      <w:r w:rsidRPr="007F4CBD">
        <w:rPr>
          <w:rFonts w:eastAsia="PMingLiU"/>
        </w:rPr>
        <w:t>edition of the National Electric Code, NFPA 70.</w:t>
      </w:r>
      <w:r w:rsidRPr="007F4CBD">
        <w:rPr>
          <w:rFonts w:eastAsia="PMingLiU"/>
        </w:rPr>
        <w:tab/>
      </w:r>
    </w:p>
    <w:p w:rsidR="00B55273" w:rsidRPr="00F96F54" w:rsidRDefault="00B5527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p>
    <w:p w:rsidR="00B55273" w:rsidRPr="00F96F54" w:rsidRDefault="00B5527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r w:rsidRPr="00F96F54">
        <w:rPr>
          <w:rFonts w:eastAsia="PMingLiU"/>
        </w:rPr>
        <w:t>4.1.</w:t>
      </w:r>
      <w:r w:rsidR="009F0246" w:rsidRPr="00F96F54">
        <w:rPr>
          <w:rFonts w:eastAsia="PMingLiU"/>
        </w:rPr>
        <w:t>l</w:t>
      </w:r>
      <w:r w:rsidR="00E523CE">
        <w:rPr>
          <w:rFonts w:eastAsia="PMingLiU"/>
        </w:rPr>
        <w:t xml:space="preserve">.  </w:t>
      </w:r>
      <w:r w:rsidRPr="00F96F54">
        <w:rPr>
          <w:rFonts w:eastAsia="PMingLiU"/>
        </w:rPr>
        <w:t xml:space="preserve">The 2015 edition of the International Swimming Pool and Spa Code. </w:t>
      </w:r>
    </w:p>
    <w:p w:rsidR="009F0246" w:rsidRPr="00F96F54" w:rsidRDefault="009F0246" w:rsidP="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9F0246" w:rsidRPr="00F96F54" w:rsidRDefault="00E523CE" w:rsidP="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Pr>
          <w:rFonts w:eastAsia="PMingLiU"/>
        </w:rPr>
        <w:tab/>
        <w:t xml:space="preserve">4.2.  </w:t>
      </w:r>
      <w:r w:rsidR="009F0246" w:rsidRPr="00F96F54">
        <w:rPr>
          <w:rFonts w:eastAsia="PMingLiU"/>
        </w:rPr>
        <w:t>Wherever referenced in the several ICC codes adopted above, any reference to the International Fire Code should be substituted with the NFPA Life Safety Code 2015 edition.</w:t>
      </w:r>
    </w:p>
    <w:p w:rsidR="009F0246" w:rsidRPr="00F96F54" w:rsidRDefault="009F0246" w:rsidP="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9F0246" w:rsidRPr="00F96F54" w:rsidRDefault="00E523CE" w:rsidP="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Pr>
          <w:rFonts w:eastAsia="PMingLiU"/>
        </w:rPr>
        <w:tab/>
        <w:t xml:space="preserve">4.3.  </w:t>
      </w:r>
      <w:r w:rsidR="009F0246" w:rsidRPr="00F96F54">
        <w:rPr>
          <w:rFonts w:eastAsia="PMingLiU"/>
        </w:rPr>
        <w:t>Whenever a certificate of occupancy is required of a commercial structure greater in size than 7,600 feet, the project documents shall be designed by an Architect licensed by the WV Board of Architects, or a Professional Engineer licensed by the WV State Board of Registration for Professional Engineers.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§87-4-5</w:t>
      </w:r>
      <w:r w:rsidR="00E523CE">
        <w:rPr>
          <w:rFonts w:eastAsia="PMingLiU"/>
          <w:b/>
          <w:bCs/>
        </w:rPr>
        <w:t>.</w:t>
      </w:r>
      <w:r w:rsidRPr="007F4CBD">
        <w:rPr>
          <w:rFonts w:eastAsia="PMingLiU"/>
          <w:b/>
          <w:bCs/>
        </w:rPr>
        <w:t xml:space="preserve"> </w:t>
      </w:r>
      <w:r w:rsidR="00E523CE">
        <w:rPr>
          <w:rFonts w:eastAsia="PMingLiU"/>
          <w:b/>
          <w:bCs/>
        </w:rPr>
        <w:t xml:space="preserve"> </w:t>
      </w:r>
      <w:r w:rsidRPr="007F4CBD">
        <w:rPr>
          <w:rFonts w:eastAsia="PMingLiU"/>
          <w:b/>
          <w:bCs/>
        </w:rPr>
        <w:t>Fire Protection of Floors in Residential Buildings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 xml:space="preserve">  5.1  New One and Two Family Dwellings over one level in height, New One and Two Family Dwellings containing a basement, and New One and Two Family Dwellings containing a crawl space containing a fuel burning appliance below the first floor, shall provide one of the following methods for fire protection of floors: (1) A 1/2 inch (12.7 mm) gypsum wallboard membrane, 5/8 inch (16 mm) wood structural panel membrane, or equivalent on the underside of the floor framing member; (2) Wood floor assemblies using dimension lumber or structural composite lumber equal or greater than 2 inch by 10 inch (50.8 mm by 254 mm) nominal dimension, or other approved floor assemblies demonstrating equivalent fire performance; or (3)  An Automatic Fire Sprinkler System as set forth in </w:t>
      </w:r>
      <w:r w:rsidRPr="00F96F54">
        <w:rPr>
          <w:rFonts w:eastAsia="PMingLiU"/>
        </w:rPr>
        <w:t xml:space="preserve">section </w:t>
      </w:r>
      <w:r w:rsidR="00042A09" w:rsidRPr="00F96F54">
        <w:rPr>
          <w:rFonts w:eastAsia="PMingLiU"/>
        </w:rPr>
        <w:t xml:space="preserve">R313.1 or </w:t>
      </w:r>
      <w:r w:rsidRPr="00F96F54">
        <w:rPr>
          <w:rFonts w:eastAsia="PMingLiU"/>
        </w:rPr>
        <w:t xml:space="preserve">R313.2 of the </w:t>
      </w:r>
      <w:r w:rsidR="007F4CBD" w:rsidRPr="00F96F54">
        <w:rPr>
          <w:rFonts w:eastAsia="PMingLiU"/>
        </w:rPr>
        <w:t>2015</w:t>
      </w:r>
      <w:r w:rsidR="007F4CBD">
        <w:rPr>
          <w:rFonts w:eastAsia="PMingLiU"/>
        </w:rPr>
        <w:t xml:space="preserve"> </w:t>
      </w:r>
      <w:r w:rsidRPr="007F4CBD">
        <w:rPr>
          <w:rFonts w:eastAsia="PMingLiU"/>
        </w:rPr>
        <w:t xml:space="preserve">edition of the International Residential Code for One and Two Family Dwellings: </w:t>
      </w:r>
      <w:r w:rsidRPr="007F4CBD">
        <w:rPr>
          <w:rFonts w:eastAsia="PMingLiU"/>
          <w:i/>
          <w:iCs/>
        </w:rPr>
        <w:t>Provided</w:t>
      </w:r>
      <w:r w:rsidRPr="007F4CBD">
        <w:rPr>
          <w:rFonts w:eastAsia="PMingLiU"/>
        </w:rPr>
        <w:t xml:space="preserve">, That floor assemblies located directly over a space protected by an automatic sprinkler system as set forth in section </w:t>
      </w:r>
      <w:r w:rsidR="00042A09" w:rsidRPr="00F96F54">
        <w:rPr>
          <w:rFonts w:eastAsia="PMingLiU"/>
        </w:rPr>
        <w:t xml:space="preserve">R313.1 or </w:t>
      </w:r>
      <w:r w:rsidRPr="00F96F54">
        <w:rPr>
          <w:rFonts w:eastAsia="PMingLiU"/>
        </w:rPr>
        <w:t xml:space="preserve">R313.2 of the </w:t>
      </w:r>
      <w:r w:rsidR="007F4CBD" w:rsidRPr="00F96F54">
        <w:rPr>
          <w:rFonts w:eastAsia="PMingLiU"/>
        </w:rPr>
        <w:t>2015</w:t>
      </w:r>
      <w:r w:rsidR="007F4CBD">
        <w:rPr>
          <w:rFonts w:eastAsia="PMingLiU"/>
        </w:rPr>
        <w:t xml:space="preserve"> </w:t>
      </w:r>
      <w:r w:rsidRPr="007F4CBD">
        <w:rPr>
          <w:rFonts w:eastAsia="PMingLiU"/>
        </w:rPr>
        <w:t>edition of the International Residential Code for One and Two Family Dwellings are exempt from this requirement.</w:t>
      </w:r>
    </w:p>
    <w:p w:rsidR="00042A09" w:rsidRDefault="00042A09">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rsidR="00042A09" w:rsidRPr="00F96F54" w:rsidRDefault="00042A09">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F96F54">
        <w:rPr>
          <w:rFonts w:eastAsia="PMingLiU"/>
        </w:rPr>
        <w:t>5.2.  Townhouses meeting the Fire Resistant Construction Standard R302.2 will be treated as New One and Two Family Dwellings and shall comply with Section 5.1 above.</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§87-4-6.  Exceptions.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F96F54"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Pr>
          <w:rFonts w:eastAsia="PMingLiU"/>
        </w:rPr>
        <w:t xml:space="preserve">6.1.  </w:t>
      </w:r>
      <w:r w:rsidR="00511F20" w:rsidRPr="00F96F54">
        <w:rPr>
          <w:rFonts w:eastAsia="PMingLiU"/>
        </w:rPr>
        <w:t>The following structures are not subject to inspection by local jurisdictions:</w:t>
      </w:r>
    </w:p>
    <w:p w:rsidR="00511F20" w:rsidRPr="00F96F54"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E523C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Pr>
          <w:rFonts w:eastAsia="PMingLiU"/>
        </w:rPr>
        <w:tab/>
      </w:r>
      <w:r w:rsidR="006B3728" w:rsidRPr="00F96F54">
        <w:rPr>
          <w:rFonts w:eastAsia="PMingLiU"/>
        </w:rPr>
        <w:t>6.1.a.</w:t>
      </w:r>
      <w:r>
        <w:rPr>
          <w:rFonts w:eastAsia="PMingLiU"/>
        </w:rPr>
        <w:t xml:space="preserve">  </w:t>
      </w:r>
      <w:r w:rsidR="00511F20" w:rsidRPr="007F4CBD">
        <w:rPr>
          <w:rFonts w:eastAsia="PMingLiU"/>
        </w:rPr>
        <w:t>Group U utility structures and storage sheds c</w:t>
      </w:r>
      <w:r w:rsidR="00B55273">
        <w:rPr>
          <w:rFonts w:eastAsia="PMingLiU"/>
        </w:rPr>
        <w:t>omprising an area not more than</w:t>
      </w:r>
      <w:r w:rsidR="00511F20" w:rsidRPr="007F4CBD">
        <w:rPr>
          <w:rFonts w:eastAsia="PMingLiU"/>
        </w:rPr>
        <w:t xml:space="preserve"> </w:t>
      </w:r>
      <w:r w:rsidR="00511F20" w:rsidRPr="00B55273">
        <w:rPr>
          <w:rFonts w:eastAsia="PMingLiU"/>
        </w:rPr>
        <w:t>200</w:t>
      </w:r>
      <w:r w:rsidR="00511F20" w:rsidRPr="007F4CBD">
        <w:rPr>
          <w:rFonts w:eastAsia="PMingLiU"/>
        </w:rPr>
        <w:t xml:space="preserve"> sq. ft. which have no plumbing or electrical connections and are used only for residential storage purposes.  (Examples include sheds that are for the residential storage of lawnmowers, tools, bicycles or furniture.)  Not included are those utility structures and storage sheds which have plumbing or electrical connections are a non-residential use or for the storage of explosives or other hazardous or explosive materials.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§87-4-7.  Adoption by Local Jurisdiction.</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7.1.  Each local jurisdiction adopting the State Building Code shall notify the State Fire Commission in writing.  The local jurisdiction shall send a copy of the ordinance or order to the State Fire Marshal, West Virginia State Fire Commission, 1207 Quarrier Street, 2nd floor, Charleston, West Virginia 25301, within thirty (30) days of adoption.</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u w:val="single"/>
        </w:rPr>
      </w:pPr>
      <w:r w:rsidRPr="007F4CBD">
        <w:rPr>
          <w:rFonts w:eastAsia="PMingLiU"/>
        </w:rPr>
        <w:t>7.2.  Each local jurisdiction which adopts the State Building Code is responsible for the enforcement of the building code as provided in West Virginia Code 7-1-3n and 8-12-13.</w:t>
      </w:r>
      <w:r w:rsidR="007F4CBD">
        <w:rPr>
          <w:rFonts w:eastAsia="PMingLiU"/>
        </w:rPr>
        <w:t xml:space="preserve"> </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7.3.  Throughout the national codes, adopted in subsection 4.1 of this rule, there are discretionary provisions or amendments which require further action by the adopting local jurisdiction in order to adapt these codes to various local conditions.  The appendices are not a part of the code and must also be adopted by the local jurisdiction to be enforceable. It is therefore the intent of this rule to further authorize each local jurisdiction to further complete, by order or ordinance, those respective areas which are indicated to be completed by the adopting “jurisdiction” and any of the appendices the local jurisdiction wishes to adopt.</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7.4.  Within the penalty sections of each of the national codes, adopted in Section 4.1 of this rule, there is a penalty for imprisonment.  The provision of imprisonment for any violation of this rule is optional with each adopting local jurisdiction.</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7.5.  Each of the national codes adopted in subsection 4.1 of this rule provides for a separate appeals board.  However, the intent and requirements for an appeal board may be met with the creation by the local jurisdiction of a single appeals board for the entire “State Building Code.”</w:t>
      </w:r>
    </w:p>
    <w:p w:rsidR="009F0246"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rsidR="009F0246" w:rsidRPr="00F96F54"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F96F54">
        <w:rPr>
          <w:rFonts w:eastAsia="PMingLiU"/>
        </w:rPr>
        <w:t>7.6.  Each local jurisdiction adopting the State Building Code shall comply with the requirements set forth in Title 87, Series 7 “Standards for the Certification and Continuing Education of Municipal, County, and Public Sector Building Code Officials, Building Code Inspectors and Plans Examiners.”</w:t>
      </w:r>
    </w:p>
    <w:p w:rsidR="009F0246" w:rsidRPr="00F96F54" w:rsidRDefault="009F0246">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p>
    <w:p w:rsidR="009F0246" w:rsidRPr="00F96F54" w:rsidRDefault="009F0246"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F96F54">
        <w:rPr>
          <w:rFonts w:eastAsia="PMingLiU"/>
        </w:rPr>
        <w:t>7.7.</w:t>
      </w:r>
      <w:r w:rsidR="00E523CE">
        <w:rPr>
          <w:rFonts w:eastAsia="PMingLiU"/>
        </w:rPr>
        <w:t xml:space="preserve">  </w:t>
      </w:r>
      <w:r w:rsidRPr="00F96F54">
        <w:t xml:space="preserve">The </w:t>
      </w:r>
      <w:r w:rsidR="006A0B21" w:rsidRPr="00F96F54">
        <w:t>local jurisdiction</w:t>
      </w:r>
      <w:r w:rsidRPr="00F96F54">
        <w:t xml:space="preserve"> shall submit an annual report to the State Fire Commission indicating the number of employees in their respective code enforcement department, their job title, whether the employee is or is not certified by the State Fire Commission in their respective discipline, as well as a verification that the entity has adopted the current version of the State Building Code. The municipality, county or local governmental entity, shall also report what ICC codes are being enforced respectively.</w:t>
      </w:r>
    </w:p>
    <w:p w:rsidR="009F0246" w:rsidRPr="00F96F54" w:rsidRDefault="009F0246"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p>
    <w:p w:rsidR="006A0B21" w:rsidRPr="00F96F54" w:rsidRDefault="009F0246"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F96F54">
        <w:t>7.8.</w:t>
      </w:r>
      <w:r w:rsidR="00E523CE">
        <w:t xml:space="preserve">  </w:t>
      </w:r>
      <w:r w:rsidRPr="00F96F54">
        <w:t xml:space="preserve">This annual report shall be filed with the State Fire Commission no later than the thirtieth day of June of each year. </w:t>
      </w:r>
    </w:p>
    <w:p w:rsidR="006A0B21" w:rsidRPr="00F96F54" w:rsidRDefault="006A0B21"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p>
    <w:p w:rsidR="009F0246" w:rsidRPr="00F96F54" w:rsidRDefault="006A0B21"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F96F54">
        <w:t>7.9.</w:t>
      </w:r>
      <w:r w:rsidR="00E523CE">
        <w:t xml:space="preserve">  </w:t>
      </w:r>
      <w:r w:rsidRPr="00F96F54">
        <w:t>All questions of interpretation and enforcement of the State Building Code are delegated to the local jurisdiction unless expressly provided by State Code, by this Rule, or by the incorporated codes and standards referenced in this Rule.</w:t>
      </w:r>
    </w:p>
    <w:p w:rsidR="009F0246" w:rsidRPr="009F0246" w:rsidRDefault="009F0246" w:rsidP="009F0246">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u w:val="single"/>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r w:rsidRPr="007F4CBD">
        <w:rPr>
          <w:rFonts w:eastAsia="PMingLiU"/>
          <w:b/>
          <w:bCs/>
        </w:rPr>
        <w:t>§87-4-8.  Existing Building Codes.</w:t>
      </w: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rPr>
      </w:pPr>
    </w:p>
    <w:p w:rsidR="00511F20" w:rsidRPr="007F4CBD" w:rsidRDefault="00511F20">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rPr>
      </w:pPr>
      <w:r w:rsidRPr="007F4CBD">
        <w:rPr>
          <w:rFonts w:eastAsia="PMingLiU"/>
        </w:rPr>
        <w:t>8.1.  All building codes previously adopted by local jurisdictions are null and void.</w:t>
      </w:r>
    </w:p>
    <w:sectPr w:rsidR="00511F20" w:rsidRPr="007F4CBD" w:rsidSect="00B9735F">
      <w:headerReference w:type="default" r:id="rId6"/>
      <w:footerReference w:type="default" r:id="rId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849" w:rsidRDefault="00DE1849" w:rsidP="00511F20">
      <w:r>
        <w:separator/>
      </w:r>
    </w:p>
  </w:endnote>
  <w:endnote w:type="continuationSeparator" w:id="0">
    <w:p w:rsidR="00DE1849" w:rsidRDefault="00DE1849" w:rsidP="0051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20" w:rsidRDefault="00511F20">
    <w:pPr>
      <w:spacing w:line="240" w:lineRule="exact"/>
    </w:pPr>
  </w:p>
  <w:p w:rsidR="00511F20" w:rsidRDefault="00B7723B">
    <w:pPr>
      <w:framePr w:w="9361" w:wrap="notBeside" w:vAnchor="text" w:hAnchor="text" w:x="1" w:y="1"/>
      <w:jc w:val="center"/>
      <w:rPr>
        <w:b/>
        <w:bCs/>
        <w:sz w:val="22"/>
        <w:szCs w:val="22"/>
      </w:rPr>
    </w:pPr>
    <w:r>
      <w:rPr>
        <w:b/>
        <w:bCs/>
        <w:sz w:val="22"/>
        <w:szCs w:val="22"/>
      </w:rPr>
      <w:fldChar w:fldCharType="begin"/>
    </w:r>
    <w:r w:rsidR="00511F20">
      <w:rPr>
        <w:b/>
        <w:bCs/>
        <w:sz w:val="22"/>
        <w:szCs w:val="22"/>
      </w:rPr>
      <w:instrText xml:space="preserve">PAGE </w:instrText>
    </w:r>
    <w:r>
      <w:rPr>
        <w:b/>
        <w:bCs/>
        <w:sz w:val="22"/>
        <w:szCs w:val="22"/>
      </w:rPr>
      <w:fldChar w:fldCharType="separate"/>
    </w:r>
    <w:r w:rsidR="00B9735F">
      <w:rPr>
        <w:b/>
        <w:bCs/>
        <w:noProof/>
        <w:sz w:val="22"/>
        <w:szCs w:val="22"/>
      </w:rPr>
      <w:t>1</w:t>
    </w:r>
    <w:r>
      <w:rPr>
        <w:b/>
        <w:bCs/>
        <w:sz w:val="22"/>
        <w:szCs w:val="22"/>
      </w:rPr>
      <w:fldChar w:fldCharType="end"/>
    </w:r>
  </w:p>
  <w:p w:rsidR="00511F20" w:rsidRDefault="00511F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849" w:rsidRDefault="00DE1849" w:rsidP="00511F20">
      <w:r>
        <w:separator/>
      </w:r>
    </w:p>
  </w:footnote>
  <w:footnote w:type="continuationSeparator" w:id="0">
    <w:p w:rsidR="00DE1849" w:rsidRDefault="00DE1849" w:rsidP="0051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20" w:rsidRPr="00E523CE" w:rsidRDefault="00511F20">
    <w:pPr>
      <w:jc w:val="center"/>
      <w:rPr>
        <w:rFonts w:eastAsia="PMingLiU"/>
        <w:b/>
        <w:bCs/>
        <w:sz w:val="20"/>
        <w:szCs w:val="20"/>
      </w:rPr>
    </w:pPr>
    <w:r w:rsidRPr="00E523CE">
      <w:rPr>
        <w:rFonts w:eastAsia="PMingLiU"/>
        <w:b/>
        <w:bCs/>
        <w:sz w:val="20"/>
        <w:szCs w:val="20"/>
      </w:rPr>
      <w:t>87CSR4</w:t>
    </w:r>
  </w:p>
  <w:p w:rsidR="00511F20" w:rsidRDefault="00511F20">
    <w:pPr>
      <w:jc w:val="center"/>
      <w:rPr>
        <w:rFonts w:ascii="PMingLiU" w:eastAsia="PMingLiU" w:cs="PMingLiU"/>
        <w:sz w:val="20"/>
        <w:szCs w:val="20"/>
      </w:rPr>
    </w:pPr>
  </w:p>
  <w:p w:rsidR="00511F20" w:rsidRDefault="00511F20">
    <w:pPr>
      <w:spacing w:line="240" w:lineRule="exact"/>
      <w:rPr>
        <w:rFonts w:ascii="PMingLiU" w:eastAsia="PMingLiU" w:cs="PMingLiU"/>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1F20"/>
    <w:rsid w:val="00004F37"/>
    <w:rsid w:val="00006E22"/>
    <w:rsid w:val="00024B37"/>
    <w:rsid w:val="00042A09"/>
    <w:rsid w:val="00054C4A"/>
    <w:rsid w:val="00061109"/>
    <w:rsid w:val="00092E4B"/>
    <w:rsid w:val="000946D0"/>
    <w:rsid w:val="001232F7"/>
    <w:rsid w:val="00155A5C"/>
    <w:rsid w:val="00195A0B"/>
    <w:rsid w:val="001C0AF9"/>
    <w:rsid w:val="003F65AE"/>
    <w:rsid w:val="00511F20"/>
    <w:rsid w:val="005B13AA"/>
    <w:rsid w:val="00680796"/>
    <w:rsid w:val="006A0B21"/>
    <w:rsid w:val="006B3728"/>
    <w:rsid w:val="006F44E2"/>
    <w:rsid w:val="00782797"/>
    <w:rsid w:val="007F4CBD"/>
    <w:rsid w:val="00942F84"/>
    <w:rsid w:val="00957E36"/>
    <w:rsid w:val="0097556B"/>
    <w:rsid w:val="009B6839"/>
    <w:rsid w:val="009E4A84"/>
    <w:rsid w:val="009F0246"/>
    <w:rsid w:val="009F1630"/>
    <w:rsid w:val="00B157F1"/>
    <w:rsid w:val="00B55273"/>
    <w:rsid w:val="00B7723B"/>
    <w:rsid w:val="00B83AD1"/>
    <w:rsid w:val="00B9735F"/>
    <w:rsid w:val="00BF7112"/>
    <w:rsid w:val="00C30171"/>
    <w:rsid w:val="00C810AA"/>
    <w:rsid w:val="00D24F75"/>
    <w:rsid w:val="00D57D50"/>
    <w:rsid w:val="00D62476"/>
    <w:rsid w:val="00DB1B31"/>
    <w:rsid w:val="00DB2E5D"/>
    <w:rsid w:val="00DE064E"/>
    <w:rsid w:val="00DE1849"/>
    <w:rsid w:val="00E523CE"/>
    <w:rsid w:val="00E77C5F"/>
    <w:rsid w:val="00F77A13"/>
    <w:rsid w:val="00F9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8FD21"/>
  <w15:docId w15:val="{8146A3D9-9FBF-4E9B-B201-1BD2F2C2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3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B1B31"/>
  </w:style>
  <w:style w:type="paragraph" w:styleId="Header">
    <w:name w:val="header"/>
    <w:basedOn w:val="Normal"/>
    <w:link w:val="HeaderChar"/>
    <w:uiPriority w:val="99"/>
    <w:unhideWhenUsed/>
    <w:rsid w:val="00024B37"/>
    <w:pPr>
      <w:tabs>
        <w:tab w:val="center" w:pos="4680"/>
        <w:tab w:val="right" w:pos="9360"/>
      </w:tabs>
    </w:pPr>
  </w:style>
  <w:style w:type="character" w:customStyle="1" w:styleId="HeaderChar">
    <w:name w:val="Header Char"/>
    <w:basedOn w:val="DefaultParagraphFont"/>
    <w:link w:val="Header"/>
    <w:uiPriority w:val="99"/>
    <w:rsid w:val="00024B37"/>
    <w:rPr>
      <w:rFonts w:ascii="Times New Roman" w:hAnsi="Times New Roman" w:cs="Times New Roman"/>
      <w:sz w:val="24"/>
      <w:szCs w:val="24"/>
    </w:rPr>
  </w:style>
  <w:style w:type="paragraph" w:styleId="Footer">
    <w:name w:val="footer"/>
    <w:basedOn w:val="Normal"/>
    <w:link w:val="FooterChar"/>
    <w:uiPriority w:val="99"/>
    <w:unhideWhenUsed/>
    <w:rsid w:val="00024B37"/>
    <w:pPr>
      <w:tabs>
        <w:tab w:val="center" w:pos="4680"/>
        <w:tab w:val="right" w:pos="9360"/>
      </w:tabs>
    </w:pPr>
  </w:style>
  <w:style w:type="character" w:customStyle="1" w:styleId="FooterChar">
    <w:name w:val="Footer Char"/>
    <w:basedOn w:val="DefaultParagraphFont"/>
    <w:link w:val="Footer"/>
    <w:uiPriority w:val="99"/>
    <w:rsid w:val="00024B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1909</Words>
  <Characters>10883</Characters>
  <Application>Microsoft Office Word</Application>
  <DocSecurity>0</DocSecurity>
  <PresentationFormat>12|.DOCX</PresentationFormat>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Judy Cooper</cp:lastModifiedBy>
  <cp:revision>3</cp:revision>
  <dcterms:created xsi:type="dcterms:W3CDTF">1901-01-01T08:00:00Z</dcterms:created>
  <dcterms:modified xsi:type="dcterms:W3CDTF">2016-09-23T20:57:00Z</dcterms:modified>
</cp:coreProperties>
</file>