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ED" w:rsidRDefault="00476EED">
      <w:pPr>
        <w:jc w:val="center"/>
        <w:rPr>
          <w:b/>
          <w:bCs/>
          <w:sz w:val="22"/>
          <w:szCs w:val="22"/>
        </w:rPr>
      </w:pPr>
      <w:bookmarkStart w:id="0" w:name="_GoBack"/>
      <w:bookmarkEnd w:id="0"/>
      <w:r>
        <w:rPr>
          <w:b/>
          <w:bCs/>
          <w:sz w:val="22"/>
          <w:szCs w:val="22"/>
        </w:rPr>
        <w:t>TITLE 153</w:t>
      </w:r>
    </w:p>
    <w:p w:rsidR="00476EED" w:rsidRDefault="00476EED">
      <w:pPr>
        <w:jc w:val="center"/>
        <w:rPr>
          <w:b/>
          <w:bCs/>
          <w:sz w:val="22"/>
          <w:szCs w:val="22"/>
        </w:rPr>
      </w:pPr>
    </w:p>
    <w:p w:rsidR="00476EED" w:rsidRDefault="00476EED">
      <w:pPr>
        <w:jc w:val="center"/>
        <w:rPr>
          <w:b/>
          <w:bCs/>
          <w:sz w:val="22"/>
          <w:szCs w:val="22"/>
        </w:rPr>
      </w:pPr>
      <w:r>
        <w:rPr>
          <w:b/>
          <w:bCs/>
          <w:sz w:val="22"/>
          <w:szCs w:val="22"/>
        </w:rPr>
        <w:t>INTERPRETIVE RULE</w:t>
      </w:r>
    </w:p>
    <w:p w:rsidR="00476EED" w:rsidRDefault="00476EED">
      <w:pPr>
        <w:jc w:val="center"/>
        <w:rPr>
          <w:b/>
          <w:bCs/>
          <w:sz w:val="22"/>
          <w:szCs w:val="22"/>
        </w:rPr>
      </w:pPr>
      <w:r>
        <w:rPr>
          <w:b/>
          <w:bCs/>
          <w:sz w:val="22"/>
          <w:szCs w:val="22"/>
        </w:rPr>
        <w:t>SECRETARY OF STATE</w:t>
      </w:r>
    </w:p>
    <w:p w:rsidR="00476EED" w:rsidRDefault="00476EED">
      <w:pPr>
        <w:jc w:val="center"/>
        <w:rPr>
          <w:b/>
          <w:bCs/>
          <w:sz w:val="22"/>
          <w:szCs w:val="22"/>
        </w:rPr>
      </w:pPr>
    </w:p>
    <w:p w:rsidR="00476EED" w:rsidRDefault="00476EED">
      <w:pPr>
        <w:jc w:val="center"/>
        <w:rPr>
          <w:b/>
          <w:bCs/>
          <w:sz w:val="22"/>
          <w:szCs w:val="22"/>
        </w:rPr>
      </w:pPr>
      <w:r>
        <w:rPr>
          <w:b/>
          <w:bCs/>
          <w:sz w:val="22"/>
          <w:szCs w:val="22"/>
        </w:rPr>
        <w:t>SERIES 46A</w:t>
      </w:r>
    </w:p>
    <w:p w:rsidR="00476EED" w:rsidRDefault="00476EED">
      <w:pPr>
        <w:jc w:val="center"/>
        <w:rPr>
          <w:sz w:val="22"/>
          <w:szCs w:val="22"/>
        </w:rPr>
      </w:pPr>
      <w:r>
        <w:rPr>
          <w:b/>
          <w:bCs/>
          <w:sz w:val="22"/>
          <w:szCs w:val="22"/>
        </w:rPr>
        <w:t>COMMISSIONERS FOR WEST VIRGINIA</w:t>
      </w:r>
    </w:p>
    <w:p w:rsidR="00476EED" w:rsidRDefault="00476EED">
      <w:pPr>
        <w:jc w:val="center"/>
        <w:rPr>
          <w:sz w:val="22"/>
          <w:szCs w:val="22"/>
        </w:rPr>
      </w:pPr>
    </w:p>
    <w:p w:rsidR="00476EED" w:rsidRDefault="00476EED">
      <w:pPr>
        <w:jc w:val="center"/>
        <w:rPr>
          <w:sz w:val="22"/>
          <w:szCs w:val="22"/>
        </w:rPr>
      </w:pPr>
    </w:p>
    <w:p w:rsidR="00476EED" w:rsidRDefault="00476EED">
      <w:pPr>
        <w:rPr>
          <w:sz w:val="22"/>
          <w:szCs w:val="22"/>
        </w:rPr>
      </w:pPr>
      <w:r>
        <w:rPr>
          <w:b/>
          <w:bCs/>
          <w:sz w:val="22"/>
          <w:szCs w:val="22"/>
        </w:rPr>
        <w:sym w:font="WP TypographicSymbols" w:char="0027"/>
      </w:r>
      <w:r>
        <w:rPr>
          <w:b/>
          <w:bCs/>
          <w:sz w:val="22"/>
          <w:szCs w:val="22"/>
        </w:rPr>
        <w:t>153-46A-1.  General.</w:t>
      </w:r>
    </w:p>
    <w:p w:rsidR="00476EED" w:rsidRDefault="00476EED">
      <w:pPr>
        <w:rPr>
          <w:sz w:val="22"/>
          <w:szCs w:val="22"/>
        </w:rPr>
      </w:pPr>
    </w:p>
    <w:p w:rsidR="00476EED" w:rsidRDefault="00476EED">
      <w:pPr>
        <w:ind w:firstLine="720"/>
        <w:rPr>
          <w:sz w:val="22"/>
          <w:szCs w:val="22"/>
        </w:rPr>
      </w:pPr>
      <w:r>
        <w:rPr>
          <w:sz w:val="22"/>
          <w:szCs w:val="22"/>
        </w:rPr>
        <w:t xml:space="preserve">1.1.  Scope.  </w:t>
      </w:r>
      <w:r>
        <w:rPr>
          <w:sz w:val="22"/>
          <w:szCs w:val="22"/>
        </w:rPr>
        <w:sym w:font="WP TypographicSymbols" w:char="0042"/>
      </w:r>
      <w:r>
        <w:rPr>
          <w:sz w:val="22"/>
          <w:szCs w:val="22"/>
        </w:rPr>
        <w:t xml:space="preserve"> This rule establishes the intent for those with a current, valid Commissioner for West Virginia registration on file with the Secretary of State</w:t>
      </w:r>
      <w:r>
        <w:rPr>
          <w:sz w:val="22"/>
          <w:szCs w:val="22"/>
        </w:rPr>
        <w:sym w:font="WP TypographicSymbols" w:char="003D"/>
      </w:r>
      <w:r>
        <w:rPr>
          <w:sz w:val="22"/>
          <w:szCs w:val="22"/>
        </w:rPr>
        <w:t xml:space="preserve">s Office, as described in the now repealed W. Va. Code </w:t>
      </w:r>
      <w:r>
        <w:rPr>
          <w:sz w:val="22"/>
          <w:szCs w:val="22"/>
        </w:rPr>
        <w:sym w:font="WP TypographicSymbols" w:char="0027"/>
      </w:r>
      <w:r>
        <w:rPr>
          <w:sz w:val="22"/>
          <w:szCs w:val="22"/>
        </w:rPr>
        <w:t>29-4-12, upon the passage of HB 4012 from the 2014 Legislative Session.</w:t>
      </w:r>
    </w:p>
    <w:p w:rsidR="00476EED" w:rsidRDefault="00476EED">
      <w:pPr>
        <w:rPr>
          <w:sz w:val="22"/>
          <w:szCs w:val="22"/>
        </w:rPr>
      </w:pPr>
    </w:p>
    <w:p w:rsidR="00476EED" w:rsidRDefault="00476EED">
      <w:pPr>
        <w:ind w:firstLine="720"/>
        <w:rPr>
          <w:sz w:val="22"/>
          <w:szCs w:val="22"/>
        </w:rPr>
      </w:pPr>
      <w:r>
        <w:rPr>
          <w:sz w:val="22"/>
          <w:szCs w:val="22"/>
        </w:rPr>
        <w:t xml:space="preserve">1.2.  Authority.  </w:t>
      </w:r>
      <w:r>
        <w:rPr>
          <w:sz w:val="22"/>
          <w:szCs w:val="22"/>
        </w:rPr>
        <w:sym w:font="WP TypographicSymbols" w:char="0042"/>
      </w:r>
      <w:r>
        <w:rPr>
          <w:sz w:val="22"/>
          <w:szCs w:val="22"/>
        </w:rPr>
        <w:t xml:space="preserve"> W. Va. Code </w:t>
      </w:r>
      <w:r>
        <w:rPr>
          <w:sz w:val="22"/>
          <w:szCs w:val="22"/>
        </w:rPr>
        <w:sym w:font="WP TypographicSymbols" w:char="0027"/>
      </w:r>
      <w:r>
        <w:rPr>
          <w:sz w:val="22"/>
          <w:szCs w:val="22"/>
        </w:rPr>
        <w:t>39-4-25.</w:t>
      </w:r>
    </w:p>
    <w:p w:rsidR="00476EED" w:rsidRDefault="00476EED">
      <w:pPr>
        <w:rPr>
          <w:sz w:val="22"/>
          <w:szCs w:val="22"/>
        </w:rPr>
      </w:pPr>
    </w:p>
    <w:p w:rsidR="00476EED" w:rsidRDefault="00476EED">
      <w:pPr>
        <w:ind w:firstLine="720"/>
        <w:rPr>
          <w:sz w:val="22"/>
          <w:szCs w:val="22"/>
        </w:rPr>
      </w:pPr>
      <w:r>
        <w:rPr>
          <w:sz w:val="22"/>
          <w:szCs w:val="22"/>
        </w:rPr>
        <w:t xml:space="preserve">1.3.  Filing Date.  </w:t>
      </w:r>
      <w:r>
        <w:rPr>
          <w:sz w:val="22"/>
          <w:szCs w:val="22"/>
        </w:rPr>
        <w:sym w:font="WP TypographicSymbols" w:char="0042"/>
      </w:r>
      <w:r>
        <w:rPr>
          <w:sz w:val="22"/>
          <w:szCs w:val="22"/>
        </w:rPr>
        <w:t xml:space="preserve">  </w:t>
      </w:r>
    </w:p>
    <w:p w:rsidR="00476EED" w:rsidRDefault="00476EED">
      <w:pPr>
        <w:rPr>
          <w:sz w:val="22"/>
          <w:szCs w:val="22"/>
        </w:rPr>
      </w:pPr>
    </w:p>
    <w:p w:rsidR="00476EED" w:rsidRDefault="00476EED">
      <w:pPr>
        <w:ind w:firstLine="720"/>
        <w:rPr>
          <w:sz w:val="22"/>
          <w:szCs w:val="22"/>
        </w:rPr>
      </w:pPr>
      <w:r>
        <w:rPr>
          <w:sz w:val="22"/>
          <w:szCs w:val="22"/>
        </w:rPr>
        <w:t xml:space="preserve">1.4.  Effective Date.  </w:t>
      </w:r>
      <w:r>
        <w:rPr>
          <w:sz w:val="22"/>
          <w:szCs w:val="22"/>
        </w:rPr>
        <w:sym w:font="WP TypographicSymbols" w:char="0042"/>
      </w:r>
      <w:r>
        <w:rPr>
          <w:sz w:val="22"/>
          <w:szCs w:val="22"/>
        </w:rPr>
        <w:t xml:space="preserve">  </w:t>
      </w:r>
    </w:p>
    <w:p w:rsidR="00476EED" w:rsidRDefault="00476EED">
      <w:pPr>
        <w:rPr>
          <w:sz w:val="22"/>
          <w:szCs w:val="22"/>
        </w:rPr>
      </w:pPr>
    </w:p>
    <w:p w:rsidR="00476EED" w:rsidRDefault="00476EED">
      <w:pPr>
        <w:rPr>
          <w:sz w:val="22"/>
          <w:szCs w:val="22"/>
        </w:rPr>
      </w:pPr>
      <w:r>
        <w:rPr>
          <w:b/>
          <w:bCs/>
          <w:sz w:val="22"/>
          <w:szCs w:val="22"/>
        </w:rPr>
        <w:sym w:font="WP TypographicSymbols" w:char="0027"/>
      </w:r>
      <w:r>
        <w:rPr>
          <w:b/>
          <w:bCs/>
          <w:sz w:val="22"/>
          <w:szCs w:val="22"/>
        </w:rPr>
        <w:t xml:space="preserve">153-46A-2.  Power of Commissioner Appointed Under the Now Repealed W. Va. Code </w:t>
      </w:r>
      <w:r>
        <w:rPr>
          <w:b/>
          <w:bCs/>
          <w:sz w:val="22"/>
          <w:szCs w:val="22"/>
        </w:rPr>
        <w:sym w:font="WP TypographicSymbols" w:char="0027"/>
      </w:r>
      <w:r>
        <w:rPr>
          <w:b/>
          <w:bCs/>
          <w:sz w:val="22"/>
          <w:szCs w:val="22"/>
        </w:rPr>
        <w:t>29-4-12.</w:t>
      </w:r>
    </w:p>
    <w:p w:rsidR="00476EED" w:rsidRDefault="00476EED">
      <w:pPr>
        <w:rPr>
          <w:sz w:val="22"/>
          <w:szCs w:val="22"/>
        </w:rPr>
      </w:pPr>
    </w:p>
    <w:p w:rsidR="00476EED" w:rsidRDefault="00476EED">
      <w:pPr>
        <w:ind w:firstLine="720"/>
        <w:rPr>
          <w:sz w:val="22"/>
          <w:szCs w:val="22"/>
        </w:rPr>
      </w:pPr>
      <w:r>
        <w:rPr>
          <w:sz w:val="22"/>
          <w:szCs w:val="22"/>
        </w:rPr>
        <w:t>2.1.  When any oath may lawfully be administered, or affidavit or deposition taken, within the state, territory or district for which any such commissioner is appointed, to be used in this state, it may be done by such commissioner.</w:t>
      </w:r>
    </w:p>
    <w:p w:rsidR="00476EED" w:rsidRDefault="00476EED">
      <w:pPr>
        <w:rPr>
          <w:sz w:val="22"/>
          <w:szCs w:val="22"/>
        </w:rPr>
      </w:pPr>
    </w:p>
    <w:p w:rsidR="00476EED" w:rsidRDefault="00476EED">
      <w:pPr>
        <w:ind w:firstLine="720"/>
        <w:rPr>
          <w:sz w:val="22"/>
          <w:szCs w:val="22"/>
        </w:rPr>
      </w:pPr>
      <w:r>
        <w:rPr>
          <w:sz w:val="22"/>
          <w:szCs w:val="22"/>
        </w:rPr>
        <w:t>2.2.  Such commissioners, under regulation prescribed by law, may take, within or any place out of the State of West Virginia, the acknowledgments of deeds and other writings to be admitted to record in the state of West Virginia.</w:t>
      </w:r>
    </w:p>
    <w:p w:rsidR="006F3DDB" w:rsidRDefault="006F3DDB">
      <w:pPr>
        <w:ind w:firstLine="720"/>
        <w:rPr>
          <w:sz w:val="22"/>
          <w:szCs w:val="22"/>
        </w:rPr>
      </w:pPr>
    </w:p>
    <w:p w:rsidR="006F3DDB" w:rsidRDefault="006F3DDB">
      <w:pPr>
        <w:ind w:firstLine="720"/>
        <w:rPr>
          <w:sz w:val="22"/>
          <w:szCs w:val="22"/>
        </w:rPr>
      </w:pPr>
      <w:r>
        <w:rPr>
          <w:sz w:val="22"/>
          <w:szCs w:val="22"/>
        </w:rPr>
        <w:t>2.3.  A commissioner, in performing notarial acts on or after July 1, 2014, shall comply with the provisions of W. Va. Code §39-4, with the exception of the stamp required by section seventeen of that article, per W. Va. Code §39-4-26(b).</w:t>
      </w:r>
    </w:p>
    <w:p w:rsidR="00476EED" w:rsidRDefault="00476EED">
      <w:pPr>
        <w:rPr>
          <w:sz w:val="22"/>
          <w:szCs w:val="22"/>
        </w:rPr>
      </w:pPr>
    </w:p>
    <w:p w:rsidR="00476EED" w:rsidRDefault="00476EED">
      <w:pPr>
        <w:rPr>
          <w:b/>
          <w:bCs/>
          <w:sz w:val="22"/>
          <w:szCs w:val="22"/>
        </w:rPr>
      </w:pPr>
      <w:r>
        <w:rPr>
          <w:b/>
          <w:bCs/>
          <w:sz w:val="22"/>
          <w:szCs w:val="22"/>
        </w:rPr>
        <w:sym w:font="WP TypographicSymbols" w:char="0027"/>
      </w:r>
      <w:r>
        <w:rPr>
          <w:b/>
          <w:bCs/>
          <w:sz w:val="22"/>
          <w:szCs w:val="22"/>
        </w:rPr>
        <w:t>153-46A-3.  Seal of Such Commissioner.</w:t>
      </w:r>
    </w:p>
    <w:p w:rsidR="00476EED" w:rsidRDefault="00476EED">
      <w:pPr>
        <w:rPr>
          <w:b/>
          <w:bCs/>
          <w:sz w:val="22"/>
          <w:szCs w:val="22"/>
        </w:rPr>
      </w:pPr>
    </w:p>
    <w:p w:rsidR="00476EED" w:rsidRDefault="00476EED">
      <w:pPr>
        <w:ind w:left="720"/>
        <w:rPr>
          <w:sz w:val="22"/>
          <w:szCs w:val="22"/>
        </w:rPr>
      </w:pPr>
      <w:r>
        <w:rPr>
          <w:sz w:val="22"/>
          <w:szCs w:val="22"/>
        </w:rPr>
        <w:t>3.1.  Each commissioner shall have an official seal which shall be a rubber stamp and shall contain:</w:t>
      </w:r>
    </w:p>
    <w:p w:rsidR="00476EED" w:rsidRDefault="00476EED">
      <w:pPr>
        <w:rPr>
          <w:sz w:val="22"/>
          <w:szCs w:val="22"/>
        </w:rPr>
      </w:pPr>
    </w:p>
    <w:p w:rsidR="00476EED" w:rsidRDefault="00476EED">
      <w:pPr>
        <w:ind w:firstLine="1440"/>
        <w:rPr>
          <w:sz w:val="22"/>
          <w:szCs w:val="22"/>
        </w:rPr>
      </w:pPr>
      <w:r>
        <w:rPr>
          <w:sz w:val="22"/>
          <w:szCs w:val="22"/>
        </w:rPr>
        <w:t xml:space="preserve">3.1.a.  The words </w:t>
      </w:r>
      <w:r>
        <w:rPr>
          <w:sz w:val="22"/>
          <w:szCs w:val="22"/>
        </w:rPr>
        <w:sym w:font="WP TypographicSymbols" w:char="0041"/>
      </w:r>
      <w:r>
        <w:rPr>
          <w:sz w:val="22"/>
          <w:szCs w:val="22"/>
        </w:rPr>
        <w:t>Official Seal</w:t>
      </w:r>
      <w:r>
        <w:rPr>
          <w:sz w:val="22"/>
          <w:szCs w:val="22"/>
        </w:rPr>
        <w:sym w:font="WP TypographicSymbols" w:char="0040"/>
      </w:r>
      <w:r>
        <w:rPr>
          <w:sz w:val="22"/>
          <w:szCs w:val="22"/>
        </w:rPr>
        <w:t>;</w:t>
      </w:r>
    </w:p>
    <w:p w:rsidR="00476EED" w:rsidRDefault="00476EED">
      <w:pPr>
        <w:rPr>
          <w:sz w:val="22"/>
          <w:szCs w:val="22"/>
        </w:rPr>
      </w:pPr>
    </w:p>
    <w:p w:rsidR="00476EED" w:rsidRDefault="00476EED">
      <w:pPr>
        <w:ind w:firstLine="1440"/>
        <w:rPr>
          <w:sz w:val="22"/>
          <w:szCs w:val="22"/>
        </w:rPr>
      </w:pPr>
      <w:r>
        <w:rPr>
          <w:sz w:val="22"/>
          <w:szCs w:val="22"/>
        </w:rPr>
        <w:t xml:space="preserve">3.1.b.  The words </w:t>
      </w:r>
      <w:r>
        <w:rPr>
          <w:sz w:val="22"/>
          <w:szCs w:val="22"/>
        </w:rPr>
        <w:sym w:font="WP TypographicSymbols" w:char="0041"/>
      </w:r>
      <w:r>
        <w:rPr>
          <w:sz w:val="22"/>
          <w:szCs w:val="22"/>
        </w:rPr>
        <w:t>Commissioner for West Virginia</w:t>
      </w:r>
      <w:r>
        <w:rPr>
          <w:sz w:val="22"/>
          <w:szCs w:val="22"/>
        </w:rPr>
        <w:sym w:font="WP TypographicSymbols" w:char="0040"/>
      </w:r>
      <w:r>
        <w:rPr>
          <w:sz w:val="22"/>
          <w:szCs w:val="22"/>
        </w:rPr>
        <w:t>;</w:t>
      </w:r>
    </w:p>
    <w:p w:rsidR="00476EED" w:rsidRDefault="00476EED">
      <w:pPr>
        <w:rPr>
          <w:sz w:val="22"/>
          <w:szCs w:val="22"/>
        </w:rPr>
      </w:pPr>
    </w:p>
    <w:p w:rsidR="00476EED" w:rsidRDefault="00476EED">
      <w:pPr>
        <w:ind w:firstLine="1440"/>
        <w:rPr>
          <w:sz w:val="22"/>
          <w:szCs w:val="22"/>
        </w:rPr>
      </w:pPr>
      <w:r>
        <w:rPr>
          <w:sz w:val="22"/>
          <w:szCs w:val="22"/>
        </w:rPr>
        <w:t>3.1.c.  The commissioner</w:t>
      </w:r>
      <w:r>
        <w:rPr>
          <w:sz w:val="22"/>
          <w:szCs w:val="22"/>
        </w:rPr>
        <w:sym w:font="WP TypographicSymbols" w:char="003D"/>
      </w:r>
      <w:r>
        <w:rPr>
          <w:sz w:val="22"/>
          <w:szCs w:val="22"/>
        </w:rPr>
        <w:t>s name exactly as it is written as an official signature;</w:t>
      </w:r>
    </w:p>
    <w:p w:rsidR="00476EED" w:rsidRDefault="00476EED">
      <w:pPr>
        <w:rPr>
          <w:sz w:val="22"/>
          <w:szCs w:val="22"/>
        </w:rPr>
      </w:pPr>
    </w:p>
    <w:p w:rsidR="00476EED" w:rsidRDefault="00476EED">
      <w:pPr>
        <w:ind w:firstLine="1440"/>
        <w:rPr>
          <w:sz w:val="22"/>
          <w:szCs w:val="22"/>
        </w:rPr>
      </w:pPr>
      <w:r>
        <w:rPr>
          <w:sz w:val="22"/>
          <w:szCs w:val="22"/>
        </w:rPr>
        <w:t>3.1.d.  The city and state of residence of the commissioner.</w:t>
      </w:r>
    </w:p>
    <w:p w:rsidR="00476EED" w:rsidRDefault="00476EED">
      <w:pPr>
        <w:rPr>
          <w:sz w:val="22"/>
          <w:szCs w:val="22"/>
        </w:rPr>
      </w:pPr>
    </w:p>
    <w:p w:rsidR="00476EED" w:rsidRDefault="00476EED">
      <w:pPr>
        <w:ind w:firstLine="1440"/>
        <w:rPr>
          <w:sz w:val="22"/>
          <w:szCs w:val="22"/>
        </w:rPr>
      </w:pPr>
      <w:r>
        <w:rPr>
          <w:sz w:val="22"/>
          <w:szCs w:val="22"/>
        </w:rPr>
        <w:t xml:space="preserve">3.1.e.  The words </w:t>
      </w:r>
      <w:r>
        <w:rPr>
          <w:sz w:val="22"/>
          <w:szCs w:val="22"/>
        </w:rPr>
        <w:sym w:font="WP TypographicSymbols" w:char="0041"/>
      </w:r>
      <w:r>
        <w:rPr>
          <w:sz w:val="22"/>
          <w:szCs w:val="22"/>
        </w:rPr>
        <w:t>My Commission Expires</w:t>
      </w:r>
      <w:r>
        <w:rPr>
          <w:sz w:val="22"/>
          <w:szCs w:val="22"/>
        </w:rPr>
        <w:sym w:font="WP TypographicSymbols" w:char="0040"/>
      </w:r>
      <w:r>
        <w:rPr>
          <w:sz w:val="22"/>
          <w:szCs w:val="22"/>
        </w:rPr>
        <w:t xml:space="preserve"> and the date of expiration of the </w:t>
      </w:r>
      <w:r>
        <w:rPr>
          <w:sz w:val="22"/>
          <w:szCs w:val="22"/>
        </w:rPr>
        <w:lastRenderedPageBreak/>
        <w:t>commission.</w:t>
      </w:r>
    </w:p>
    <w:p w:rsidR="00476EED" w:rsidRDefault="00476EED">
      <w:pPr>
        <w:rPr>
          <w:sz w:val="22"/>
          <w:szCs w:val="22"/>
        </w:rPr>
      </w:pPr>
    </w:p>
    <w:p w:rsidR="00476EED" w:rsidRDefault="00476EED">
      <w:pPr>
        <w:ind w:firstLine="720"/>
        <w:rPr>
          <w:sz w:val="22"/>
          <w:szCs w:val="22"/>
        </w:rPr>
      </w:pPr>
      <w:r>
        <w:rPr>
          <w:sz w:val="22"/>
          <w:szCs w:val="22"/>
        </w:rPr>
        <w:t>3.2.  A stamped imprint of the seal, together with the official signature, shall be filed in the office of the Secretary of State.</w:t>
      </w:r>
    </w:p>
    <w:p w:rsidR="00476EED" w:rsidRDefault="00476EED">
      <w:pPr>
        <w:rPr>
          <w:b/>
          <w:bCs/>
          <w:sz w:val="22"/>
          <w:szCs w:val="22"/>
        </w:rPr>
      </w:pPr>
    </w:p>
    <w:p w:rsidR="00476EED" w:rsidRDefault="00476EED">
      <w:pPr>
        <w:rPr>
          <w:b/>
          <w:bCs/>
          <w:sz w:val="22"/>
          <w:szCs w:val="22"/>
        </w:rPr>
      </w:pPr>
      <w:r>
        <w:rPr>
          <w:b/>
          <w:bCs/>
          <w:sz w:val="22"/>
          <w:szCs w:val="22"/>
        </w:rPr>
        <w:sym w:font="WP TypographicSymbols" w:char="0027"/>
      </w:r>
      <w:r>
        <w:rPr>
          <w:b/>
          <w:bCs/>
          <w:sz w:val="22"/>
          <w:szCs w:val="22"/>
        </w:rPr>
        <w:t>153-46A-4.  Renewing a Commission.</w:t>
      </w:r>
    </w:p>
    <w:p w:rsidR="00476EED" w:rsidRDefault="00476EED">
      <w:pPr>
        <w:rPr>
          <w:b/>
          <w:bCs/>
          <w:sz w:val="22"/>
          <w:szCs w:val="22"/>
        </w:rPr>
      </w:pPr>
    </w:p>
    <w:p w:rsidR="00476EED" w:rsidRDefault="00476EED">
      <w:pPr>
        <w:ind w:firstLine="720"/>
        <w:rPr>
          <w:sz w:val="22"/>
          <w:szCs w:val="22"/>
        </w:rPr>
      </w:pPr>
      <w:r>
        <w:rPr>
          <w:sz w:val="22"/>
          <w:szCs w:val="22"/>
        </w:rPr>
        <w:t>4.1.  A commissioner holding a current, valid registration at the time of HB 4012 becoming effective on July 1, 2014 may continue to act as a commissioner until the expiration of that term</w:t>
      </w:r>
      <w:r w:rsidR="006F3DDB">
        <w:rPr>
          <w:sz w:val="22"/>
          <w:szCs w:val="22"/>
        </w:rPr>
        <w:t xml:space="preserve"> per W. Va. Code §39-4-26(b)</w:t>
      </w:r>
      <w:r>
        <w:rPr>
          <w:sz w:val="22"/>
          <w:szCs w:val="22"/>
        </w:rPr>
        <w:t>.</w:t>
      </w:r>
    </w:p>
    <w:p w:rsidR="00476EED" w:rsidRDefault="00476EED">
      <w:pPr>
        <w:rPr>
          <w:sz w:val="22"/>
          <w:szCs w:val="22"/>
        </w:rPr>
      </w:pPr>
    </w:p>
    <w:p w:rsidR="00476EED" w:rsidRDefault="00476EED">
      <w:pPr>
        <w:ind w:firstLine="1440"/>
        <w:rPr>
          <w:sz w:val="22"/>
          <w:szCs w:val="22"/>
        </w:rPr>
      </w:pPr>
      <w:r>
        <w:rPr>
          <w:sz w:val="22"/>
          <w:szCs w:val="22"/>
        </w:rPr>
        <w:t>4.1.a.  No renewal of this registration will be accepted.</w:t>
      </w:r>
    </w:p>
    <w:p w:rsidR="00476EED" w:rsidRDefault="00476EED">
      <w:pPr>
        <w:rPr>
          <w:sz w:val="22"/>
          <w:szCs w:val="22"/>
        </w:rPr>
      </w:pPr>
    </w:p>
    <w:p w:rsidR="00476EED" w:rsidRDefault="00476EED">
      <w:pPr>
        <w:ind w:firstLine="1440"/>
        <w:rPr>
          <w:sz w:val="22"/>
          <w:szCs w:val="22"/>
        </w:rPr>
      </w:pPr>
      <w:r>
        <w:rPr>
          <w:sz w:val="22"/>
          <w:szCs w:val="22"/>
        </w:rPr>
        <w:t>4.1.b.  No new applications for this registration will be accepted.</w:t>
      </w:r>
    </w:p>
    <w:sectPr w:rsidR="00476EED" w:rsidSect="00476EED">
      <w:headerReference w:type="default" r:id="rId6"/>
      <w:footerReference w:type="default" r:id="rId7"/>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EED" w:rsidRDefault="00476EED" w:rsidP="00476EED">
      <w:r>
        <w:separator/>
      </w:r>
    </w:p>
  </w:endnote>
  <w:endnote w:type="continuationSeparator" w:id="0">
    <w:p w:rsidR="00476EED" w:rsidRDefault="00476EED" w:rsidP="0047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EED" w:rsidRDefault="00476EED">
    <w:pPr>
      <w:spacing w:line="240" w:lineRule="exact"/>
    </w:pPr>
  </w:p>
  <w:p w:rsidR="00476EED" w:rsidRDefault="00476EED">
    <w:pPr>
      <w:framePr w:w="9361" w:wrap="notBeside" w:vAnchor="text" w:hAnchor="text" w:x="1" w:y="1"/>
      <w:jc w:val="center"/>
    </w:pPr>
    <w:r>
      <w:fldChar w:fldCharType="begin"/>
    </w:r>
    <w:r>
      <w:instrText xml:space="preserve">PAGE </w:instrText>
    </w:r>
    <w:r>
      <w:fldChar w:fldCharType="separate"/>
    </w:r>
    <w:r w:rsidR="007758D3">
      <w:rPr>
        <w:noProof/>
      </w:rPr>
      <w:t>1</w:t>
    </w:r>
    <w:r>
      <w:fldChar w:fldCharType="end"/>
    </w:r>
  </w:p>
  <w:p w:rsidR="00476EED" w:rsidRDefault="00476E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EED" w:rsidRDefault="00476EED" w:rsidP="00476EED">
      <w:r>
        <w:separator/>
      </w:r>
    </w:p>
  </w:footnote>
  <w:footnote w:type="continuationSeparator" w:id="0">
    <w:p w:rsidR="00476EED" w:rsidRDefault="00476EED" w:rsidP="00476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EED" w:rsidRDefault="00476EED">
    <w:pPr>
      <w:jc w:val="center"/>
      <w:rPr>
        <w:b/>
        <w:bCs/>
        <w:sz w:val="20"/>
        <w:szCs w:val="20"/>
      </w:rPr>
    </w:pPr>
    <w:r>
      <w:rPr>
        <w:b/>
        <w:bCs/>
        <w:sz w:val="20"/>
        <w:szCs w:val="20"/>
      </w:rPr>
      <w:t>153-46A</w:t>
    </w:r>
  </w:p>
  <w:p w:rsidR="00476EED" w:rsidRDefault="00476EED">
    <w:pPr>
      <w:jc w:val="center"/>
      <w:rPr>
        <w:b/>
        <w:bCs/>
        <w:sz w:val="20"/>
        <w:szCs w:val="20"/>
      </w:rPr>
    </w:pPr>
  </w:p>
  <w:p w:rsidR="00476EED" w:rsidRDefault="00476EED">
    <w:pPr>
      <w:jc w:val="center"/>
    </w:pPr>
  </w:p>
  <w:p w:rsidR="00476EED" w:rsidRDefault="00476EED">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ED"/>
    <w:rsid w:val="00476EED"/>
    <w:rsid w:val="006F3DDB"/>
    <w:rsid w:val="007758D3"/>
    <w:rsid w:val="00CF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0CAFDB-9F1B-4ECE-BD69-9D67FF04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1917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Lewis</dc:creator>
  <cp:keywords/>
  <dc:description/>
  <cp:lastModifiedBy>David Nichols</cp:lastModifiedBy>
  <cp:revision>2</cp:revision>
  <dcterms:created xsi:type="dcterms:W3CDTF">2015-07-27T18:34:00Z</dcterms:created>
  <dcterms:modified xsi:type="dcterms:W3CDTF">2015-07-27T18:34:00Z</dcterms:modified>
</cp:coreProperties>
</file>